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96FCB" w14:textId="77777777" w:rsidR="002C75A7" w:rsidRPr="007E0A0D" w:rsidRDefault="002C75A7" w:rsidP="002C75A7">
      <w:pPr>
        <w:spacing w:line="276" w:lineRule="auto"/>
        <w:jc w:val="center"/>
        <w:rPr>
          <w:rFonts w:ascii="Century Gothic" w:hAnsi="Century Gothic"/>
          <w:b/>
          <w:sz w:val="36"/>
          <w:szCs w:val="36"/>
        </w:rPr>
      </w:pPr>
      <w:r w:rsidRPr="007E0A0D">
        <w:rPr>
          <w:rFonts w:ascii="Century Gothic" w:hAnsi="Century Gothic"/>
          <w:b/>
          <w:sz w:val="36"/>
          <w:szCs w:val="36"/>
        </w:rPr>
        <w:t>Managed Moves</w:t>
      </w:r>
    </w:p>
    <w:p w14:paraId="2082BFDA" w14:textId="77777777" w:rsidR="002C75A7" w:rsidRPr="007E0A0D" w:rsidRDefault="002C75A7" w:rsidP="002C75A7">
      <w:pPr>
        <w:spacing w:line="276" w:lineRule="auto"/>
        <w:jc w:val="center"/>
        <w:rPr>
          <w:rFonts w:ascii="Century Gothic" w:hAnsi="Century Gothic"/>
          <w:b/>
          <w:sz w:val="28"/>
          <w:szCs w:val="28"/>
        </w:rPr>
      </w:pPr>
    </w:p>
    <w:p w14:paraId="5306C079" w14:textId="77777777" w:rsidR="002C75A7" w:rsidRPr="007E0A0D" w:rsidRDefault="002C75A7" w:rsidP="002C75A7">
      <w:pPr>
        <w:spacing w:line="276" w:lineRule="auto"/>
        <w:rPr>
          <w:rFonts w:ascii="Century Gothic" w:hAnsi="Century Gothic"/>
          <w:b/>
        </w:rPr>
      </w:pPr>
      <w:r w:rsidRPr="007E0A0D">
        <w:rPr>
          <w:rFonts w:ascii="Century Gothic" w:hAnsi="Century Gothic"/>
          <w:b/>
        </w:rPr>
        <w:t xml:space="preserve">Definition: A managed move is the transfer of a child who is at serious risk of permanent exclusion from his/her school. It is a </w:t>
      </w:r>
      <w:r w:rsidRPr="007E0A0D">
        <w:rPr>
          <w:rFonts w:ascii="Century Gothic" w:hAnsi="Century Gothic"/>
          <w:b/>
          <w:bCs/>
        </w:rPr>
        <w:t xml:space="preserve">voluntary </w:t>
      </w:r>
      <w:r w:rsidRPr="007E0A0D">
        <w:rPr>
          <w:rFonts w:ascii="Century Gothic" w:hAnsi="Century Gothic"/>
          <w:b/>
        </w:rPr>
        <w:t>agreement between two schools, a child and his/her parents/carers. It allows a child at risk of permanent exclusion to have a trial transfer to another school on a dual registration basis.</w:t>
      </w:r>
    </w:p>
    <w:p w14:paraId="4512B73A" w14:textId="77777777" w:rsidR="002C75A7" w:rsidRPr="007E0A0D" w:rsidRDefault="002C75A7" w:rsidP="002C75A7">
      <w:pPr>
        <w:spacing w:line="276" w:lineRule="auto"/>
        <w:rPr>
          <w:rFonts w:ascii="Century Gothic" w:hAnsi="Century Gothic"/>
          <w:b/>
          <w:sz w:val="28"/>
          <w:szCs w:val="28"/>
        </w:rPr>
      </w:pPr>
    </w:p>
    <w:p w14:paraId="7A0BFAAB" w14:textId="77777777" w:rsidR="002C75A7" w:rsidRPr="007E0A0D" w:rsidRDefault="002C75A7" w:rsidP="002C75A7">
      <w:pPr>
        <w:pStyle w:val="Default"/>
        <w:spacing w:line="276" w:lineRule="auto"/>
        <w:rPr>
          <w:rFonts w:ascii="Century Gothic" w:hAnsi="Century Gothic"/>
        </w:rPr>
      </w:pPr>
      <w:r w:rsidRPr="007E0A0D">
        <w:rPr>
          <w:rFonts w:ascii="Century Gothic" w:hAnsi="Century Gothic"/>
        </w:rPr>
        <w:t xml:space="preserve">Current government guidance (Exclusion from maintained schools, academies and pupil referral units in England - Statutory guidance for those with legal responsibilities in relation to exclusion 2017) advises school leaders that: </w:t>
      </w:r>
    </w:p>
    <w:p w14:paraId="389C60B7" w14:textId="77777777" w:rsidR="002C75A7" w:rsidRPr="007E0A0D" w:rsidRDefault="002C75A7" w:rsidP="002C75A7">
      <w:pPr>
        <w:spacing w:line="276" w:lineRule="auto"/>
        <w:rPr>
          <w:rFonts w:ascii="Century Gothic" w:hAnsi="Century Gothic"/>
        </w:rPr>
      </w:pPr>
      <w:r w:rsidRPr="007E0A0D">
        <w:rPr>
          <w:rFonts w:ascii="Century Gothic" w:hAnsi="Century Gothic"/>
          <w:i/>
          <w:iCs/>
        </w:rPr>
        <w:t>‘A pupil at any type of school can also transfer to another school as part of a ‘managed move’ where this occurs with the consent of the parties involved, including the parents and the admission authority of the school. However, the threat of exclusion must never be used to influence parents to remove their child from the school.’</w:t>
      </w:r>
    </w:p>
    <w:p w14:paraId="62372A37" w14:textId="77777777" w:rsidR="002C75A7" w:rsidRPr="007E0A0D" w:rsidRDefault="002C75A7" w:rsidP="002C75A7">
      <w:pPr>
        <w:spacing w:line="276" w:lineRule="auto"/>
        <w:rPr>
          <w:rFonts w:ascii="Century Gothic" w:hAnsi="Century Gothic"/>
          <w:b/>
          <w:sz w:val="28"/>
          <w:szCs w:val="28"/>
        </w:rPr>
      </w:pPr>
    </w:p>
    <w:p w14:paraId="795B62BC" w14:textId="77777777" w:rsidR="002C75A7" w:rsidRPr="007E0A0D" w:rsidRDefault="002C75A7" w:rsidP="002C75A7">
      <w:pPr>
        <w:spacing w:line="276" w:lineRule="auto"/>
        <w:rPr>
          <w:rFonts w:ascii="Century Gothic" w:hAnsi="Century Gothic"/>
          <w:b/>
          <w:sz w:val="28"/>
          <w:szCs w:val="28"/>
        </w:rPr>
      </w:pPr>
      <w:r w:rsidRPr="007E0A0D">
        <w:rPr>
          <w:rFonts w:ascii="Century Gothic" w:hAnsi="Century Gothic"/>
          <w:b/>
          <w:sz w:val="28"/>
          <w:szCs w:val="28"/>
        </w:rPr>
        <w:t>Key Points:</w:t>
      </w:r>
    </w:p>
    <w:p w14:paraId="41E7AF92" w14:textId="77777777" w:rsidR="002C75A7" w:rsidRPr="007E0A0D" w:rsidRDefault="002C75A7" w:rsidP="002C75A7">
      <w:pPr>
        <w:spacing w:line="276" w:lineRule="auto"/>
        <w:rPr>
          <w:rFonts w:ascii="Century Gothic" w:hAnsi="Century Gothic"/>
          <w:b/>
          <w:sz w:val="28"/>
          <w:szCs w:val="28"/>
        </w:rPr>
      </w:pPr>
    </w:p>
    <w:p w14:paraId="704755D1" w14:textId="77777777" w:rsidR="002C75A7" w:rsidRPr="007E0A0D" w:rsidRDefault="002C75A7" w:rsidP="002C75A7">
      <w:pPr>
        <w:pStyle w:val="ListParagraph"/>
        <w:numPr>
          <w:ilvl w:val="0"/>
          <w:numId w:val="4"/>
        </w:numPr>
        <w:spacing w:after="0" w:line="276" w:lineRule="auto"/>
        <w:rPr>
          <w:rFonts w:ascii="Century Gothic" w:hAnsi="Century Gothic"/>
          <w:b/>
        </w:rPr>
      </w:pPr>
      <w:r w:rsidRPr="007E0A0D">
        <w:rPr>
          <w:rFonts w:ascii="Century Gothic" w:hAnsi="Century Gothic"/>
        </w:rPr>
        <w:t>It should only be used when the child/young person is at serious risk of permanent exclusion.</w:t>
      </w:r>
    </w:p>
    <w:p w14:paraId="7BB434B3" w14:textId="77777777" w:rsidR="002C75A7" w:rsidRPr="003A7E26" w:rsidRDefault="002C75A7" w:rsidP="002C75A7">
      <w:pPr>
        <w:pStyle w:val="ListParagraph"/>
        <w:numPr>
          <w:ilvl w:val="0"/>
          <w:numId w:val="4"/>
        </w:numPr>
        <w:spacing w:after="0" w:line="276" w:lineRule="auto"/>
        <w:rPr>
          <w:rFonts w:ascii="Century Gothic" w:hAnsi="Century Gothic"/>
          <w:b/>
          <w:highlight w:val="yellow"/>
        </w:rPr>
      </w:pPr>
      <w:r w:rsidRPr="003A7E26">
        <w:rPr>
          <w:rFonts w:ascii="Century Gothic" w:hAnsi="Century Gothic"/>
          <w:b/>
          <w:highlight w:val="yellow"/>
        </w:rPr>
        <w:t xml:space="preserve">It should be voluntary – parents </w:t>
      </w:r>
      <w:proofErr w:type="gramStart"/>
      <w:r w:rsidRPr="003A7E26">
        <w:rPr>
          <w:rFonts w:ascii="Century Gothic" w:hAnsi="Century Gothic"/>
          <w:b/>
          <w:highlight w:val="yellow"/>
        </w:rPr>
        <w:t>have to</w:t>
      </w:r>
      <w:proofErr w:type="gramEnd"/>
      <w:r w:rsidRPr="003A7E26">
        <w:rPr>
          <w:rFonts w:ascii="Century Gothic" w:hAnsi="Century Gothic"/>
          <w:b/>
          <w:highlight w:val="yellow"/>
        </w:rPr>
        <w:t xml:space="preserve"> </w:t>
      </w:r>
      <w:proofErr w:type="gramStart"/>
      <w:r w:rsidRPr="003A7E26">
        <w:rPr>
          <w:rFonts w:ascii="Century Gothic" w:hAnsi="Century Gothic"/>
          <w:b/>
          <w:highlight w:val="yellow"/>
        </w:rPr>
        <w:t>be in agreement</w:t>
      </w:r>
      <w:proofErr w:type="gramEnd"/>
      <w:r w:rsidRPr="003A7E26">
        <w:rPr>
          <w:rFonts w:ascii="Century Gothic" w:hAnsi="Century Gothic"/>
          <w:b/>
          <w:highlight w:val="yellow"/>
        </w:rPr>
        <w:t>.</w:t>
      </w:r>
    </w:p>
    <w:p w14:paraId="4B56A7F2" w14:textId="77777777" w:rsidR="002C75A7" w:rsidRPr="007E0A0D" w:rsidRDefault="002C75A7" w:rsidP="002C75A7">
      <w:pPr>
        <w:pStyle w:val="ListParagraph"/>
        <w:numPr>
          <w:ilvl w:val="0"/>
          <w:numId w:val="4"/>
        </w:numPr>
        <w:spacing w:after="0" w:line="276" w:lineRule="auto"/>
        <w:rPr>
          <w:rFonts w:ascii="Century Gothic" w:hAnsi="Century Gothic"/>
          <w:b/>
        </w:rPr>
      </w:pPr>
      <w:r w:rsidRPr="007E0A0D">
        <w:rPr>
          <w:rFonts w:ascii="Century Gothic" w:hAnsi="Century Gothic"/>
        </w:rPr>
        <w:t>It should never be used as the only alternative to a threatened permanent exclusion (you should not be made to feel like there is no other option).</w:t>
      </w:r>
    </w:p>
    <w:p w14:paraId="5675BE90" w14:textId="77777777" w:rsidR="002C75A7" w:rsidRPr="007E0A0D" w:rsidRDefault="002C75A7" w:rsidP="002C75A7">
      <w:pPr>
        <w:pStyle w:val="ListParagraph"/>
        <w:numPr>
          <w:ilvl w:val="0"/>
          <w:numId w:val="4"/>
        </w:numPr>
        <w:spacing w:after="0" w:line="276" w:lineRule="auto"/>
        <w:rPr>
          <w:rFonts w:ascii="Century Gothic" w:hAnsi="Century Gothic"/>
          <w:b/>
        </w:rPr>
      </w:pPr>
      <w:r w:rsidRPr="007E0A0D">
        <w:rPr>
          <w:rFonts w:ascii="Century Gothic" w:hAnsi="Century Gothic"/>
        </w:rPr>
        <w:t>It can be positive in some circumstances as it’s an opportunity for a fresh start.</w:t>
      </w:r>
    </w:p>
    <w:p w14:paraId="7E1C775F" w14:textId="77777777" w:rsidR="002C75A7" w:rsidRPr="007E0A0D" w:rsidRDefault="002C75A7" w:rsidP="002C75A7">
      <w:pPr>
        <w:pStyle w:val="ListParagraph"/>
        <w:numPr>
          <w:ilvl w:val="0"/>
          <w:numId w:val="4"/>
        </w:numPr>
        <w:spacing w:after="0" w:line="276" w:lineRule="auto"/>
        <w:rPr>
          <w:rFonts w:ascii="Century Gothic" w:hAnsi="Century Gothic"/>
          <w:b/>
        </w:rPr>
      </w:pPr>
      <w:r w:rsidRPr="007E0A0D">
        <w:rPr>
          <w:rFonts w:ascii="Century Gothic" w:hAnsi="Century Gothic"/>
        </w:rPr>
        <w:t xml:space="preserve">Challenging behaviour often occurs in SEND children and young people when their needs have not been fully </w:t>
      </w:r>
      <w:proofErr w:type="gramStart"/>
      <w:r w:rsidRPr="007E0A0D">
        <w:rPr>
          <w:rFonts w:ascii="Century Gothic" w:hAnsi="Century Gothic"/>
        </w:rPr>
        <w:t>identified</w:t>
      </w:r>
      <w:proofErr w:type="gramEnd"/>
      <w:r w:rsidRPr="007E0A0D">
        <w:rPr>
          <w:rFonts w:ascii="Century Gothic" w:hAnsi="Century Gothic"/>
        </w:rPr>
        <w:t xml:space="preserve"> and appropriate support and reasonable adjustments have not been put in place. </w:t>
      </w:r>
    </w:p>
    <w:p w14:paraId="251C6848" w14:textId="77777777" w:rsidR="002C75A7" w:rsidRPr="003A7E26" w:rsidRDefault="002C75A7" w:rsidP="002C75A7">
      <w:pPr>
        <w:pStyle w:val="ListParagraph"/>
        <w:numPr>
          <w:ilvl w:val="0"/>
          <w:numId w:val="4"/>
        </w:numPr>
        <w:spacing w:after="0" w:line="276" w:lineRule="auto"/>
        <w:rPr>
          <w:rFonts w:ascii="Century Gothic" w:hAnsi="Century Gothic"/>
          <w:b/>
          <w:highlight w:val="yellow"/>
        </w:rPr>
      </w:pPr>
      <w:r w:rsidRPr="003A7E26">
        <w:rPr>
          <w:rFonts w:ascii="Century Gothic" w:hAnsi="Century Gothic"/>
          <w:highlight w:val="yellow"/>
        </w:rPr>
        <w:t xml:space="preserve">If your child has SEND and you feel that the lack of appropriate support has led to the behaviour issues then it is vital that a full assessment of your child’s needs takes place, so that the right support is in place before the child starts at the new setting. </w:t>
      </w:r>
    </w:p>
    <w:p w14:paraId="4DD953DE" w14:textId="77777777" w:rsidR="002C75A7" w:rsidRPr="007E0A0D" w:rsidRDefault="002C75A7" w:rsidP="002C75A7">
      <w:pPr>
        <w:pStyle w:val="ListParagraph"/>
        <w:numPr>
          <w:ilvl w:val="0"/>
          <w:numId w:val="4"/>
        </w:numPr>
        <w:spacing w:after="0" w:line="276" w:lineRule="auto"/>
        <w:rPr>
          <w:rFonts w:ascii="Century Gothic" w:hAnsi="Century Gothic"/>
          <w:b/>
        </w:rPr>
      </w:pPr>
      <w:r w:rsidRPr="007E0A0D">
        <w:rPr>
          <w:rFonts w:ascii="Century Gothic" w:hAnsi="Century Gothic"/>
        </w:rPr>
        <w:t xml:space="preserve">Schools should never use a managed move as an alternative to initiating a request for EHCP assessment if it is thought to be necessary. A change of school will automatically delay the process while the child settles </w:t>
      </w:r>
      <w:proofErr w:type="gramStart"/>
      <w:r w:rsidRPr="007E0A0D">
        <w:rPr>
          <w:rFonts w:ascii="Century Gothic" w:hAnsi="Century Gothic"/>
        </w:rPr>
        <w:t>in to</w:t>
      </w:r>
      <w:proofErr w:type="gramEnd"/>
      <w:r w:rsidRPr="007E0A0D">
        <w:rPr>
          <w:rFonts w:ascii="Century Gothic" w:hAnsi="Century Gothic"/>
        </w:rPr>
        <w:t xml:space="preserve"> the new school and the school </w:t>
      </w:r>
      <w:proofErr w:type="gramStart"/>
      <w:r w:rsidRPr="007E0A0D">
        <w:rPr>
          <w:rFonts w:ascii="Century Gothic" w:hAnsi="Century Gothic"/>
        </w:rPr>
        <w:t>are able to</w:t>
      </w:r>
      <w:proofErr w:type="gramEnd"/>
      <w:r w:rsidRPr="007E0A0D">
        <w:rPr>
          <w:rFonts w:ascii="Century Gothic" w:hAnsi="Century Gothic"/>
        </w:rPr>
        <w:t xml:space="preserve"> assess the needs.</w:t>
      </w:r>
    </w:p>
    <w:p w14:paraId="257350F4" w14:textId="77777777" w:rsidR="002C75A7" w:rsidRPr="007E0A0D" w:rsidRDefault="002C75A7" w:rsidP="002C75A7">
      <w:pPr>
        <w:pStyle w:val="ListParagraph"/>
        <w:numPr>
          <w:ilvl w:val="0"/>
          <w:numId w:val="4"/>
        </w:numPr>
        <w:spacing w:after="0" w:line="276" w:lineRule="auto"/>
        <w:rPr>
          <w:rFonts w:ascii="Century Gothic" w:hAnsi="Century Gothic"/>
          <w:b/>
        </w:rPr>
      </w:pPr>
      <w:r w:rsidRPr="007E0A0D">
        <w:rPr>
          <w:rFonts w:ascii="Century Gothic" w:hAnsi="Century Gothic"/>
        </w:rPr>
        <w:lastRenderedPageBreak/>
        <w:t>Parents are often encouraged to accept a managed move to avoid risking a permanent exclusion on their child’s record. Managed moves are not subject to the same legal protection and scrutiny as a permanent exclusion. There is no automatic review of the head teacher’s decision by the governors and no right of parental appeal as it seen as a voluntary decision. For these reasons it is important not to rush into it and to make sure it is the best route for getting the support your child needs to succeed.</w:t>
      </w:r>
    </w:p>
    <w:p w14:paraId="53F56A4B" w14:textId="77777777" w:rsidR="002C75A7" w:rsidRPr="007E0A0D" w:rsidRDefault="002C75A7" w:rsidP="002C75A7">
      <w:pPr>
        <w:pStyle w:val="ListParagraph"/>
        <w:numPr>
          <w:ilvl w:val="0"/>
          <w:numId w:val="4"/>
        </w:numPr>
        <w:spacing w:after="0" w:line="276" w:lineRule="auto"/>
        <w:rPr>
          <w:rFonts w:ascii="Century Gothic" w:hAnsi="Century Gothic"/>
          <w:b/>
        </w:rPr>
      </w:pPr>
      <w:r w:rsidRPr="007E0A0D">
        <w:rPr>
          <w:rFonts w:ascii="Century Gothic" w:hAnsi="Century Gothic"/>
        </w:rPr>
        <w:t xml:space="preserve">If you make the decision yourself that your child needs a move to another </w:t>
      </w:r>
      <w:proofErr w:type="gramStart"/>
      <w:r w:rsidRPr="007E0A0D">
        <w:rPr>
          <w:rFonts w:ascii="Century Gothic" w:hAnsi="Century Gothic"/>
        </w:rPr>
        <w:t>school</w:t>
      </w:r>
      <w:proofErr w:type="gramEnd"/>
      <w:r w:rsidRPr="007E0A0D">
        <w:rPr>
          <w:rFonts w:ascii="Century Gothic" w:hAnsi="Century Gothic"/>
        </w:rPr>
        <w:t xml:space="preserve"> then the normal admissions procedures will need to be followed.</w:t>
      </w:r>
    </w:p>
    <w:p w14:paraId="08FBAE4B" w14:textId="77777777" w:rsidR="002C75A7" w:rsidRPr="007E0A0D" w:rsidRDefault="002C75A7" w:rsidP="002C75A7">
      <w:pPr>
        <w:pStyle w:val="ListParagraph"/>
        <w:spacing w:line="276" w:lineRule="auto"/>
        <w:rPr>
          <w:rFonts w:ascii="Century Gothic" w:hAnsi="Century Gothic"/>
        </w:rPr>
      </w:pPr>
    </w:p>
    <w:p w14:paraId="3A5A2E11" w14:textId="77777777" w:rsidR="002C75A7" w:rsidRDefault="002C75A7" w:rsidP="002C75A7">
      <w:pPr>
        <w:pStyle w:val="ListParagraph"/>
        <w:rPr>
          <w:rFonts w:ascii="Comic Sans MS" w:hAnsi="Comic Sans MS"/>
          <w:b/>
        </w:rPr>
      </w:pPr>
    </w:p>
    <w:p w14:paraId="30A60C35" w14:textId="77777777" w:rsidR="002C75A7" w:rsidRDefault="002C75A7" w:rsidP="002C75A7"/>
    <w:p w14:paraId="41E23916" w14:textId="0ACA9F26" w:rsidR="002C75A7" w:rsidRPr="00387DB7" w:rsidRDefault="002C75A7" w:rsidP="002C75A7">
      <w:pPr>
        <w:jc w:val="center"/>
        <w:rPr>
          <w:rFonts w:ascii="Century Gothic" w:hAnsi="Century Gothic"/>
          <w:b/>
          <w:bCs/>
          <w:color w:val="0B463D"/>
        </w:rPr>
      </w:pPr>
      <w:r w:rsidRPr="00387DB7">
        <w:rPr>
          <w:rFonts w:ascii="Century Gothic" w:hAnsi="Century Gothic"/>
          <w:b/>
          <w:bCs/>
          <w:color w:val="0B463D"/>
        </w:rPr>
        <w:t>For further information and advice, contact Barnardo’s SENDIASS:</w:t>
      </w:r>
    </w:p>
    <w:p w14:paraId="192B06D9" w14:textId="1A483C70" w:rsidR="002C75A7" w:rsidRPr="00387DB7" w:rsidRDefault="002C75A7" w:rsidP="002C75A7">
      <w:pPr>
        <w:jc w:val="center"/>
        <w:rPr>
          <w:rFonts w:ascii="Century Gothic" w:hAnsi="Century Gothic"/>
          <w:b/>
          <w:bCs/>
          <w:color w:val="0B463D"/>
        </w:rPr>
      </w:pPr>
      <w:r w:rsidRPr="00387DB7">
        <w:rPr>
          <w:rFonts w:ascii="Century Gothic" w:hAnsi="Century Gothic"/>
          <w:b/>
          <w:bCs/>
          <w:color w:val="0B463D"/>
        </w:rPr>
        <w:t>Telephone: 01274 513300</w:t>
      </w:r>
    </w:p>
    <w:p w14:paraId="35614474" w14:textId="6043610A" w:rsidR="002C75A7" w:rsidRPr="00387DB7" w:rsidRDefault="002C75A7" w:rsidP="002C75A7">
      <w:pPr>
        <w:jc w:val="center"/>
        <w:rPr>
          <w:rFonts w:ascii="Century Gothic" w:hAnsi="Century Gothic"/>
          <w:b/>
          <w:bCs/>
          <w:color w:val="0B463D"/>
        </w:rPr>
      </w:pPr>
      <w:r w:rsidRPr="00387DB7">
        <w:rPr>
          <w:rFonts w:ascii="Century Gothic" w:hAnsi="Century Gothic"/>
          <w:b/>
          <w:bCs/>
          <w:color w:val="0B463D"/>
        </w:rPr>
        <w:t xml:space="preserve">Email: </w:t>
      </w:r>
      <w:r w:rsidRPr="00387DB7">
        <w:rPr>
          <w:rFonts w:ascii="Century Gothic" w:hAnsi="Century Gothic"/>
          <w:b/>
          <w:bCs/>
          <w:color w:val="0B463D"/>
          <w:u w:val="single"/>
        </w:rPr>
        <w:t>bradfordsendiass@barnardos.org.uk</w:t>
      </w:r>
    </w:p>
    <w:p w14:paraId="63C4E169" w14:textId="13EE99FF" w:rsidR="002C75A7" w:rsidRPr="00387DB7" w:rsidRDefault="002C75A7" w:rsidP="002C75A7">
      <w:pPr>
        <w:jc w:val="center"/>
        <w:rPr>
          <w:rFonts w:ascii="Century Gothic" w:hAnsi="Century Gothic"/>
          <w:b/>
          <w:bCs/>
          <w:color w:val="0B463D"/>
        </w:rPr>
      </w:pPr>
      <w:r w:rsidRPr="00387DB7">
        <w:rPr>
          <w:rFonts w:ascii="Century Gothic" w:hAnsi="Century Gothic"/>
          <w:b/>
          <w:bCs/>
          <w:color w:val="0B463D"/>
        </w:rPr>
        <w:t>Write to:</w:t>
      </w:r>
    </w:p>
    <w:p w14:paraId="13085AC7" w14:textId="38654002" w:rsidR="002C75A7" w:rsidRPr="00387DB7" w:rsidRDefault="002C75A7" w:rsidP="002C75A7">
      <w:pPr>
        <w:jc w:val="center"/>
        <w:rPr>
          <w:rFonts w:ascii="Century Gothic" w:hAnsi="Century Gothic"/>
          <w:color w:val="0B463D"/>
        </w:rPr>
      </w:pPr>
      <w:r w:rsidRPr="00387DB7">
        <w:rPr>
          <w:rFonts w:ascii="Century Gothic" w:hAnsi="Century Gothic"/>
          <w:color w:val="0B463D"/>
        </w:rPr>
        <w:t>Bradford SENDIASS</w:t>
      </w:r>
    </w:p>
    <w:p w14:paraId="428F51C5" w14:textId="1F5568D1" w:rsidR="002C75A7" w:rsidRPr="00387DB7" w:rsidRDefault="002C75A7" w:rsidP="002C75A7">
      <w:pPr>
        <w:jc w:val="center"/>
        <w:rPr>
          <w:rFonts w:ascii="Century Gothic" w:hAnsi="Century Gothic"/>
          <w:color w:val="0B463D"/>
        </w:rPr>
      </w:pPr>
      <w:r w:rsidRPr="00387DB7">
        <w:rPr>
          <w:rFonts w:ascii="Century Gothic" w:hAnsi="Century Gothic"/>
          <w:color w:val="0B463D"/>
        </w:rPr>
        <w:t>40–42 Listerhills Science Park</w:t>
      </w:r>
    </w:p>
    <w:p w14:paraId="0F40C55E" w14:textId="2AA2D678" w:rsidR="002C75A7" w:rsidRPr="00387DB7" w:rsidRDefault="002C75A7" w:rsidP="002C75A7">
      <w:pPr>
        <w:jc w:val="center"/>
        <w:rPr>
          <w:rFonts w:ascii="Century Gothic" w:hAnsi="Century Gothic"/>
          <w:color w:val="0B463D"/>
        </w:rPr>
      </w:pPr>
      <w:r w:rsidRPr="00387DB7">
        <w:rPr>
          <w:rFonts w:ascii="Century Gothic" w:hAnsi="Century Gothic"/>
          <w:color w:val="0B463D"/>
        </w:rPr>
        <w:t>Campus Road</w:t>
      </w:r>
    </w:p>
    <w:p w14:paraId="42E04F9C" w14:textId="440A8A71" w:rsidR="002C75A7" w:rsidRPr="00387DB7" w:rsidRDefault="002C75A7" w:rsidP="002C75A7">
      <w:pPr>
        <w:jc w:val="center"/>
        <w:rPr>
          <w:rFonts w:ascii="Century Gothic" w:hAnsi="Century Gothic"/>
          <w:color w:val="0B463D"/>
        </w:rPr>
      </w:pPr>
      <w:r w:rsidRPr="00387DB7">
        <w:rPr>
          <w:rFonts w:ascii="Century Gothic" w:hAnsi="Century Gothic"/>
          <w:color w:val="0B463D"/>
        </w:rPr>
        <w:t>Bradford</w:t>
      </w:r>
    </w:p>
    <w:p w14:paraId="325AF0CF" w14:textId="636DEA83" w:rsidR="002C75A7" w:rsidRPr="00387DB7" w:rsidRDefault="002C75A7" w:rsidP="002C75A7">
      <w:pPr>
        <w:jc w:val="center"/>
        <w:rPr>
          <w:rFonts w:ascii="Century Gothic" w:hAnsi="Century Gothic"/>
          <w:color w:val="0B463D"/>
        </w:rPr>
      </w:pPr>
      <w:r w:rsidRPr="00387DB7">
        <w:rPr>
          <w:rFonts w:ascii="Century Gothic" w:hAnsi="Century Gothic"/>
          <w:color w:val="0B463D"/>
        </w:rPr>
        <w:t>BD7 1HR</w:t>
      </w:r>
    </w:p>
    <w:p w14:paraId="65D50692" w14:textId="77777777" w:rsidR="002C75A7" w:rsidRPr="00387DB7" w:rsidRDefault="002C75A7" w:rsidP="002C75A7">
      <w:pPr>
        <w:jc w:val="center"/>
        <w:rPr>
          <w:rFonts w:ascii="Century Gothic" w:hAnsi="Century Gothic"/>
          <w:b/>
          <w:bCs/>
          <w:color w:val="0B463D"/>
        </w:rPr>
      </w:pPr>
    </w:p>
    <w:p w14:paraId="53990014" w14:textId="43968B8D" w:rsidR="002C75A7" w:rsidRPr="00387DB7" w:rsidRDefault="002C75A7" w:rsidP="002C75A7">
      <w:pPr>
        <w:jc w:val="center"/>
        <w:rPr>
          <w:rFonts w:ascii="Century Gothic" w:hAnsi="Century Gothic"/>
          <w:b/>
          <w:bCs/>
          <w:color w:val="0B463D"/>
        </w:rPr>
      </w:pPr>
      <w:r w:rsidRPr="00387DB7">
        <w:rPr>
          <w:rFonts w:ascii="Century Gothic" w:hAnsi="Century Gothic"/>
          <w:b/>
          <w:bCs/>
          <w:color w:val="0B463D"/>
        </w:rPr>
        <w:t>Or visit our website for more useful information:</w:t>
      </w:r>
    </w:p>
    <w:p w14:paraId="65938B2A" w14:textId="017477BE" w:rsidR="002C75A7" w:rsidRPr="00387DB7" w:rsidRDefault="002C75A7" w:rsidP="002C75A7">
      <w:pPr>
        <w:jc w:val="center"/>
        <w:rPr>
          <w:rFonts w:ascii="Century Gothic" w:hAnsi="Century Gothic"/>
          <w:b/>
          <w:bCs/>
          <w:color w:val="0B463D"/>
        </w:rPr>
      </w:pPr>
      <w:hyperlink r:id="rId7" w:history="1">
        <w:r w:rsidRPr="00387DB7">
          <w:rPr>
            <w:rStyle w:val="Hyperlink"/>
            <w:rFonts w:ascii="Century Gothic" w:hAnsi="Century Gothic"/>
            <w:b/>
            <w:bCs/>
            <w:color w:val="0B463D"/>
          </w:rPr>
          <w:t>https://www.barnardossendiass.org.uk/bradford-sendiass/</w:t>
        </w:r>
      </w:hyperlink>
    </w:p>
    <w:p w14:paraId="0C6E874E" w14:textId="6C226D7E" w:rsidR="006326F4" w:rsidRPr="002C75A7" w:rsidRDefault="002C75A7" w:rsidP="002C75A7">
      <w:pPr>
        <w:jc w:val="center"/>
        <w:rPr>
          <w:rFonts w:ascii="Century Gothic" w:hAnsi="Century Gothic"/>
          <w:b/>
          <w:bCs/>
          <w:color w:val="0B463D"/>
        </w:rPr>
      </w:pPr>
      <w:r w:rsidRPr="00387DB7">
        <w:rPr>
          <w:rFonts w:ascii="Century Gothic" w:hAnsi="Century Gothic"/>
          <w:b/>
          <w:bCs/>
          <w:color w:val="0B463D"/>
        </w:rPr>
        <w:t>Another useful link would be, IPSEA:  </w:t>
      </w:r>
      <w:r w:rsidRPr="00387DB7">
        <w:rPr>
          <w:rFonts w:ascii="Century Gothic" w:hAnsi="Century Gothic"/>
          <w:b/>
          <w:bCs/>
          <w:color w:val="0B463D"/>
          <w:u w:val="single"/>
        </w:rPr>
        <w:t>http://www.ipsea.org.uk/</w:t>
      </w:r>
    </w:p>
    <w:p w14:paraId="17E03D37" w14:textId="18519284" w:rsidR="000F7D31" w:rsidRPr="00466BB4" w:rsidRDefault="000F7D31" w:rsidP="00466BB4">
      <w:pPr>
        <w:autoSpaceDE w:val="0"/>
        <w:autoSpaceDN w:val="0"/>
        <w:adjustRightInd w:val="0"/>
        <w:jc w:val="center"/>
        <w:rPr>
          <w:rFonts w:ascii="Inter Light" w:hAnsi="Inter Light" w:cs="Comic Sans MS"/>
          <w:b/>
          <w:color w:val="455F51" w:themeColor="text2"/>
        </w:rPr>
      </w:pPr>
      <w:r w:rsidRPr="00466BB4">
        <w:rPr>
          <w:rFonts w:ascii="Inter Light" w:hAnsi="Inter Light" w:cs="Comic Sans MS"/>
          <w:b/>
          <w:color w:val="455F51" w:themeColor="text2"/>
        </w:rPr>
        <w:t>For further information and advice, contact Barnardo’s SENDIASS:</w:t>
      </w:r>
    </w:p>
    <w:p w14:paraId="5CAA0B66" w14:textId="098CF23A" w:rsidR="000F7D31" w:rsidRPr="00466BB4" w:rsidRDefault="00844871" w:rsidP="00466BB4">
      <w:pPr>
        <w:autoSpaceDE w:val="0"/>
        <w:autoSpaceDN w:val="0"/>
        <w:adjustRightInd w:val="0"/>
        <w:ind w:firstLine="720"/>
        <w:jc w:val="center"/>
        <w:rPr>
          <w:rFonts w:ascii="Inter Light" w:hAnsi="Inter Light" w:cs="Comic Sans MS"/>
          <w:color w:val="455F51" w:themeColor="text2"/>
        </w:rPr>
      </w:pPr>
      <w:r w:rsidRPr="00466BB4">
        <w:rPr>
          <w:rFonts w:ascii="Inter Light" w:hAnsi="Inter Light" w:cs="Comic Sans MS"/>
          <w:color w:val="455F51" w:themeColor="text2"/>
        </w:rPr>
        <w:t>Telephone:</w:t>
      </w:r>
      <w:r w:rsidR="000F7D31" w:rsidRPr="00466BB4">
        <w:rPr>
          <w:rFonts w:ascii="Inter Light" w:hAnsi="Inter Light" w:cs="Comic Sans MS"/>
          <w:color w:val="455F51" w:themeColor="text2"/>
        </w:rPr>
        <w:t xml:space="preserve"> 01274 513300</w:t>
      </w:r>
    </w:p>
    <w:p w14:paraId="240F091B" w14:textId="77777777" w:rsidR="000F7D31" w:rsidRPr="00466BB4" w:rsidRDefault="000F7D31" w:rsidP="00466BB4">
      <w:pPr>
        <w:autoSpaceDE w:val="0"/>
        <w:autoSpaceDN w:val="0"/>
        <w:adjustRightInd w:val="0"/>
        <w:ind w:firstLine="720"/>
        <w:jc w:val="center"/>
        <w:rPr>
          <w:rFonts w:ascii="Inter Light" w:hAnsi="Inter Light" w:cs="Comic Sans MS"/>
          <w:color w:val="455F51" w:themeColor="text2"/>
        </w:rPr>
      </w:pPr>
      <w:r w:rsidRPr="00466BB4">
        <w:rPr>
          <w:rFonts w:ascii="Inter Light" w:hAnsi="Inter Light" w:cs="Comic Sans MS"/>
          <w:color w:val="455F51" w:themeColor="text2"/>
        </w:rPr>
        <w:t xml:space="preserve">Email: </w:t>
      </w:r>
      <w:hyperlink r:id="rId8" w:history="1">
        <w:r w:rsidRPr="00466BB4">
          <w:rPr>
            <w:rStyle w:val="Hyperlink"/>
            <w:rFonts w:ascii="Inter Light" w:hAnsi="Inter Light" w:cs="Comic Sans MS"/>
            <w:color w:val="455F51" w:themeColor="text2"/>
          </w:rPr>
          <w:t>bradfordsendiass@barnardos.org.uk</w:t>
        </w:r>
      </w:hyperlink>
    </w:p>
    <w:p w14:paraId="0D7307C4" w14:textId="77777777" w:rsidR="000F7D31" w:rsidRPr="00466BB4" w:rsidRDefault="000F7D31" w:rsidP="00466BB4">
      <w:pPr>
        <w:autoSpaceDE w:val="0"/>
        <w:autoSpaceDN w:val="0"/>
        <w:adjustRightInd w:val="0"/>
        <w:ind w:firstLine="720"/>
        <w:jc w:val="center"/>
        <w:rPr>
          <w:rFonts w:ascii="Inter Light" w:hAnsi="Inter Light" w:cs="Comic Sans MS"/>
          <w:color w:val="455F51" w:themeColor="text2"/>
        </w:rPr>
      </w:pPr>
      <w:r w:rsidRPr="00466BB4">
        <w:rPr>
          <w:rFonts w:ascii="Inter Light" w:hAnsi="Inter Light" w:cs="Comic Sans MS"/>
          <w:color w:val="455F51" w:themeColor="text2"/>
        </w:rPr>
        <w:t>Write to:</w:t>
      </w:r>
      <w:r w:rsidRPr="00466BB4">
        <w:rPr>
          <w:rFonts w:ascii="Inter Light" w:hAnsi="Inter Light" w:cs="Comic Sans MS"/>
          <w:color w:val="455F51" w:themeColor="text2"/>
        </w:rPr>
        <w:tab/>
        <w:t xml:space="preserve"> Bradford SENDIASS</w:t>
      </w:r>
    </w:p>
    <w:p w14:paraId="10FDA6F9" w14:textId="77A6F0A3" w:rsidR="000F7D31" w:rsidRPr="00466BB4" w:rsidRDefault="000F7D31" w:rsidP="00466BB4">
      <w:pPr>
        <w:autoSpaceDE w:val="0"/>
        <w:autoSpaceDN w:val="0"/>
        <w:adjustRightInd w:val="0"/>
        <w:ind w:left="1440" w:firstLine="720"/>
        <w:jc w:val="center"/>
        <w:rPr>
          <w:rFonts w:ascii="Inter Light" w:hAnsi="Inter Light" w:cs="Comic Sans MS"/>
          <w:color w:val="455F51" w:themeColor="text2"/>
        </w:rPr>
      </w:pPr>
      <w:r w:rsidRPr="00466BB4">
        <w:rPr>
          <w:rFonts w:ascii="Inter Light" w:hAnsi="Inter Light" w:cs="Comic Sans MS"/>
          <w:color w:val="455F51" w:themeColor="text2"/>
        </w:rPr>
        <w:t>40–42 Listerhills Science Park</w:t>
      </w:r>
    </w:p>
    <w:p w14:paraId="6DFB5DD8" w14:textId="5A6A85D0" w:rsidR="000F7D31" w:rsidRPr="00466BB4" w:rsidRDefault="000F7D31" w:rsidP="00466BB4">
      <w:pPr>
        <w:autoSpaceDE w:val="0"/>
        <w:autoSpaceDN w:val="0"/>
        <w:adjustRightInd w:val="0"/>
        <w:ind w:left="1440" w:firstLine="720"/>
        <w:jc w:val="center"/>
        <w:rPr>
          <w:rFonts w:ascii="Inter Light" w:hAnsi="Inter Light" w:cs="Comic Sans MS"/>
          <w:color w:val="455F51" w:themeColor="text2"/>
        </w:rPr>
      </w:pPr>
      <w:r w:rsidRPr="00466BB4">
        <w:rPr>
          <w:rFonts w:ascii="Inter Light" w:hAnsi="Inter Light" w:cs="Comic Sans MS"/>
          <w:color w:val="455F51" w:themeColor="text2"/>
        </w:rPr>
        <w:t>Campus Road</w:t>
      </w:r>
    </w:p>
    <w:p w14:paraId="5F4C1AEF" w14:textId="439C6C48" w:rsidR="000F7D31" w:rsidRPr="00466BB4" w:rsidRDefault="000F7D31" w:rsidP="00466BB4">
      <w:pPr>
        <w:autoSpaceDE w:val="0"/>
        <w:autoSpaceDN w:val="0"/>
        <w:adjustRightInd w:val="0"/>
        <w:ind w:left="1440" w:firstLine="720"/>
        <w:jc w:val="center"/>
        <w:rPr>
          <w:rFonts w:ascii="Inter Light" w:hAnsi="Inter Light" w:cs="Comic Sans MS"/>
          <w:color w:val="455F51" w:themeColor="text2"/>
        </w:rPr>
      </w:pPr>
      <w:r w:rsidRPr="00466BB4">
        <w:rPr>
          <w:rFonts w:ascii="Inter Light" w:hAnsi="Inter Light" w:cs="Comic Sans MS"/>
          <w:color w:val="455F51" w:themeColor="text2"/>
        </w:rPr>
        <w:t>Bradford</w:t>
      </w:r>
    </w:p>
    <w:p w14:paraId="1C7E3D62" w14:textId="5F6DA5CA" w:rsidR="000F7D31" w:rsidRPr="00466BB4" w:rsidRDefault="000F7D31" w:rsidP="00466BB4">
      <w:pPr>
        <w:autoSpaceDE w:val="0"/>
        <w:autoSpaceDN w:val="0"/>
        <w:adjustRightInd w:val="0"/>
        <w:ind w:left="1440" w:firstLine="720"/>
        <w:jc w:val="center"/>
        <w:rPr>
          <w:rFonts w:ascii="Inter Light" w:hAnsi="Inter Light" w:cs="Comic Sans MS"/>
          <w:color w:val="455F51" w:themeColor="text2"/>
        </w:rPr>
      </w:pPr>
      <w:r w:rsidRPr="00466BB4">
        <w:rPr>
          <w:rFonts w:ascii="Inter Light" w:hAnsi="Inter Light" w:cs="Comic Sans MS"/>
          <w:color w:val="455F51" w:themeColor="text2"/>
        </w:rPr>
        <w:lastRenderedPageBreak/>
        <w:t>BD7 1HR</w:t>
      </w:r>
    </w:p>
    <w:p w14:paraId="32058962" w14:textId="77777777" w:rsidR="000F7D31" w:rsidRPr="00466BB4" w:rsidRDefault="000F7D31" w:rsidP="00466BB4">
      <w:pPr>
        <w:autoSpaceDE w:val="0"/>
        <w:autoSpaceDN w:val="0"/>
        <w:adjustRightInd w:val="0"/>
        <w:ind w:firstLine="720"/>
        <w:jc w:val="center"/>
        <w:rPr>
          <w:rFonts w:ascii="Inter Light" w:hAnsi="Inter Light" w:cs="Comic Sans MS"/>
          <w:color w:val="455F51" w:themeColor="text2"/>
        </w:rPr>
      </w:pPr>
      <w:r w:rsidRPr="00466BB4">
        <w:rPr>
          <w:rFonts w:ascii="Inter Light" w:hAnsi="Inter Light" w:cs="Comic Sans MS"/>
          <w:color w:val="455F51" w:themeColor="text2"/>
        </w:rPr>
        <w:t>Or visit our website for more useful information:</w:t>
      </w:r>
    </w:p>
    <w:p w14:paraId="19743199" w14:textId="1E568BA9" w:rsidR="000F7D31" w:rsidRPr="00466BB4" w:rsidRDefault="000F7D31" w:rsidP="00466BB4">
      <w:pPr>
        <w:autoSpaceDE w:val="0"/>
        <w:autoSpaceDN w:val="0"/>
        <w:adjustRightInd w:val="0"/>
        <w:ind w:left="720" w:firstLine="720"/>
        <w:jc w:val="center"/>
        <w:rPr>
          <w:rFonts w:ascii="Inter Light" w:hAnsi="Inter Light" w:cs="Comic Sans MS"/>
          <w:color w:val="455F51" w:themeColor="text2"/>
        </w:rPr>
      </w:pPr>
      <w:hyperlink r:id="rId9" w:history="1">
        <w:r w:rsidRPr="00466BB4">
          <w:rPr>
            <w:rStyle w:val="Hyperlink"/>
            <w:rFonts w:ascii="Inter Light" w:hAnsi="Inter Light" w:cs="Comic Sans MS"/>
            <w:color w:val="455F51" w:themeColor="text2"/>
          </w:rPr>
          <w:t>www.barnardos.org.uk/bradfordsendiass</w:t>
        </w:r>
      </w:hyperlink>
    </w:p>
    <w:p w14:paraId="133EC270" w14:textId="77777777" w:rsidR="00540423" w:rsidRPr="00466BB4" w:rsidRDefault="00540423" w:rsidP="00466BB4">
      <w:pPr>
        <w:jc w:val="center"/>
        <w:rPr>
          <w:rFonts w:ascii="Inter Light" w:hAnsi="Inter Light"/>
        </w:rPr>
      </w:pPr>
    </w:p>
    <w:p w14:paraId="5FE3E764" w14:textId="77777777" w:rsidR="00196643" w:rsidRPr="00466BB4" w:rsidRDefault="00196643" w:rsidP="009A2087">
      <w:pPr>
        <w:rPr>
          <w:rFonts w:ascii="Inter Light" w:hAnsi="Inter Light"/>
        </w:rPr>
      </w:pPr>
    </w:p>
    <w:p w14:paraId="26C5297D" w14:textId="77777777" w:rsidR="009A2087" w:rsidRPr="00466BB4" w:rsidRDefault="009A2087" w:rsidP="009A2087">
      <w:pPr>
        <w:rPr>
          <w:rFonts w:ascii="Inter Light" w:hAnsi="Inter Light"/>
        </w:rPr>
      </w:pPr>
    </w:p>
    <w:sectPr w:rsidR="009A2087" w:rsidRPr="00466BB4" w:rsidSect="00466BB4">
      <w:headerReference w:type="default" r:id="rId10"/>
      <w:footerReference w:type="default" r:id="rId11"/>
      <w:pgSz w:w="11906" w:h="16838"/>
      <w:pgMar w:top="2694" w:right="720"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62A3" w14:textId="77777777" w:rsidR="001857A2" w:rsidRDefault="001857A2" w:rsidP="001857A2">
      <w:pPr>
        <w:spacing w:after="0" w:line="240" w:lineRule="auto"/>
      </w:pPr>
      <w:r>
        <w:separator/>
      </w:r>
    </w:p>
  </w:endnote>
  <w:endnote w:type="continuationSeparator" w:id="0">
    <w:p w14:paraId="048382ED" w14:textId="77777777" w:rsidR="001857A2" w:rsidRDefault="001857A2" w:rsidP="0018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Inter Light">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E656" w14:textId="48DAE9CF" w:rsidR="001857A2" w:rsidRDefault="001857A2">
    <w:pPr>
      <w:pStyle w:val="Footer"/>
    </w:pPr>
    <w:r>
      <w:rPr>
        <w:noProof/>
      </w:rPr>
      <w:drawing>
        <wp:anchor distT="0" distB="0" distL="114300" distR="114300" simplePos="0" relativeHeight="251663360" behindDoc="0" locked="0" layoutInCell="1" allowOverlap="1" wp14:anchorId="2A1A4771" wp14:editId="4A6F861F">
          <wp:simplePos x="0" y="0"/>
          <wp:positionH relativeFrom="column">
            <wp:posOffset>4896682</wp:posOffset>
          </wp:positionH>
          <wp:positionV relativeFrom="paragraph">
            <wp:posOffset>-238125</wp:posOffset>
          </wp:positionV>
          <wp:extent cx="1628775" cy="706481"/>
          <wp:effectExtent l="0" t="0" r="0" b="0"/>
          <wp:wrapThrough wrapText="bothSides">
            <wp:wrapPolygon edited="0">
              <wp:start x="1263" y="0"/>
              <wp:lineTo x="0" y="3496"/>
              <wp:lineTo x="0" y="11655"/>
              <wp:lineTo x="7832" y="19230"/>
              <wp:lineTo x="10105" y="20396"/>
              <wp:lineTo x="11874" y="20978"/>
              <wp:lineTo x="15158" y="20978"/>
              <wp:lineTo x="20211" y="19230"/>
              <wp:lineTo x="21221" y="16317"/>
              <wp:lineTo x="21221" y="2914"/>
              <wp:lineTo x="18947" y="0"/>
              <wp:lineTo x="1263" y="0"/>
            </wp:wrapPolygon>
          </wp:wrapThrough>
          <wp:docPr id="1265438275" name="Picture 1" descr="barnardos-logo-purpose-vertical-dark-gre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nardos-logo-purpose-vertical-dark-green-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70648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283EA" w14:textId="77777777" w:rsidR="001857A2" w:rsidRDefault="001857A2" w:rsidP="001857A2">
      <w:pPr>
        <w:spacing w:after="0" w:line="240" w:lineRule="auto"/>
      </w:pPr>
      <w:r>
        <w:separator/>
      </w:r>
    </w:p>
  </w:footnote>
  <w:footnote w:type="continuationSeparator" w:id="0">
    <w:p w14:paraId="711D7899" w14:textId="77777777" w:rsidR="001857A2" w:rsidRDefault="001857A2" w:rsidP="00185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D48C" w14:textId="3203CA4A" w:rsidR="00585175" w:rsidRPr="00585175" w:rsidRDefault="0042052F" w:rsidP="0042052F">
    <w:pPr>
      <w:pStyle w:val="Header"/>
      <w:ind w:left="-426"/>
    </w:pPr>
    <w:r w:rsidRPr="00585175">
      <w:rPr>
        <w:noProof/>
      </w:rPr>
      <w:drawing>
        <wp:anchor distT="0" distB="0" distL="114300" distR="114300" simplePos="0" relativeHeight="251666432" behindDoc="1" locked="0" layoutInCell="1" allowOverlap="1" wp14:anchorId="75CCA7F8" wp14:editId="73686CAA">
          <wp:simplePos x="0" y="0"/>
          <wp:positionH relativeFrom="column">
            <wp:posOffset>5975350</wp:posOffset>
          </wp:positionH>
          <wp:positionV relativeFrom="paragraph">
            <wp:posOffset>-240030</wp:posOffset>
          </wp:positionV>
          <wp:extent cx="882015" cy="781050"/>
          <wp:effectExtent l="0" t="0" r="0" b="0"/>
          <wp:wrapTight wrapText="bothSides">
            <wp:wrapPolygon edited="0">
              <wp:start x="17261" y="0"/>
              <wp:lineTo x="4199" y="2634"/>
              <wp:lineTo x="0" y="4215"/>
              <wp:lineTo x="0" y="18966"/>
              <wp:lineTo x="933" y="21073"/>
              <wp:lineTo x="15862" y="21073"/>
              <wp:lineTo x="16328" y="8429"/>
              <wp:lineTo x="20994" y="5268"/>
              <wp:lineTo x="20994" y="2107"/>
              <wp:lineTo x="20060" y="0"/>
              <wp:lineTo x="17261" y="0"/>
            </wp:wrapPolygon>
          </wp:wrapTight>
          <wp:docPr id="2128088483" name="Picture 4" descr="A person holding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10960" name="Picture 4" descr="A person holding a sta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DA8">
      <w:rPr>
        <w:b/>
        <w:bCs/>
        <w:noProof/>
      </w:rPr>
      <w:drawing>
        <wp:anchor distT="0" distB="0" distL="114300" distR="114300" simplePos="0" relativeHeight="251661312" behindDoc="1" locked="0" layoutInCell="1" allowOverlap="1" wp14:anchorId="3CBC1D01" wp14:editId="66E60044">
          <wp:simplePos x="0" y="0"/>
          <wp:positionH relativeFrom="column">
            <wp:posOffset>-248285</wp:posOffset>
          </wp:positionH>
          <wp:positionV relativeFrom="paragraph">
            <wp:posOffset>-127000</wp:posOffset>
          </wp:positionV>
          <wp:extent cx="3785235" cy="752475"/>
          <wp:effectExtent l="0" t="0" r="0" b="0"/>
          <wp:wrapTight wrapText="bothSides">
            <wp:wrapPolygon edited="0">
              <wp:start x="5979" y="4375"/>
              <wp:lineTo x="1087" y="5468"/>
              <wp:lineTo x="652" y="6015"/>
              <wp:lineTo x="652" y="17499"/>
              <wp:lineTo x="20546" y="17499"/>
              <wp:lineTo x="20980" y="14218"/>
              <wp:lineTo x="21198" y="7109"/>
              <wp:lineTo x="20328" y="5468"/>
              <wp:lineTo x="16197" y="4375"/>
              <wp:lineTo x="5979" y="4375"/>
            </wp:wrapPolygon>
          </wp:wrapTight>
          <wp:docPr id="795382384" name="Picture 3"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54784" name="Picture 3" descr="A black background with blue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52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175">
      <w:rPr>
        <w:noProof/>
      </w:rPr>
      <mc:AlternateContent>
        <mc:Choice Requires="wps">
          <w:drawing>
            <wp:anchor distT="0" distB="0" distL="114300" distR="114300" simplePos="0" relativeHeight="251659264" behindDoc="0" locked="0" layoutInCell="1" allowOverlap="1" wp14:anchorId="59EABA88" wp14:editId="6AB24D75">
              <wp:simplePos x="0" y="0"/>
              <wp:positionH relativeFrom="column">
                <wp:posOffset>-352425</wp:posOffset>
              </wp:positionH>
              <wp:positionV relativeFrom="paragraph">
                <wp:posOffset>-316230</wp:posOffset>
              </wp:positionV>
              <wp:extent cx="7277100" cy="1247775"/>
              <wp:effectExtent l="0" t="0" r="0" b="9525"/>
              <wp:wrapNone/>
              <wp:docPr id="586694764" name="Rectangle 2"/>
              <wp:cNvGraphicFramePr/>
              <a:graphic xmlns:a="http://schemas.openxmlformats.org/drawingml/2006/main">
                <a:graphicData uri="http://schemas.microsoft.com/office/word/2010/wordprocessingShape">
                  <wps:wsp>
                    <wps:cNvSpPr/>
                    <wps:spPr>
                      <a:xfrm>
                        <a:off x="0" y="0"/>
                        <a:ext cx="7277100" cy="1247775"/>
                      </a:xfrm>
                      <a:custGeom>
                        <a:avLst/>
                        <a:gdLst>
                          <a:gd name="connsiteX0" fmla="*/ 0 w 7334250"/>
                          <a:gd name="connsiteY0" fmla="*/ 0 h 733425"/>
                          <a:gd name="connsiteX1" fmla="*/ 7334250 w 7334250"/>
                          <a:gd name="connsiteY1" fmla="*/ 0 h 733425"/>
                          <a:gd name="connsiteX2" fmla="*/ 7334250 w 7334250"/>
                          <a:gd name="connsiteY2" fmla="*/ 7334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4286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520676 h 733425"/>
                          <a:gd name="connsiteX3" fmla="*/ 0 w 7334250"/>
                          <a:gd name="connsiteY3" fmla="*/ 733425 h 733425"/>
                          <a:gd name="connsiteX4" fmla="*/ 0 w 7334250"/>
                          <a:gd name="connsiteY4" fmla="*/ 0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34250" h="733425">
                            <a:moveTo>
                              <a:pt x="0" y="0"/>
                            </a:moveTo>
                            <a:lnTo>
                              <a:pt x="7334250" y="0"/>
                            </a:lnTo>
                            <a:lnTo>
                              <a:pt x="7334250" y="520676"/>
                            </a:lnTo>
                            <a:lnTo>
                              <a:pt x="0" y="733425"/>
                            </a:lnTo>
                            <a:lnTo>
                              <a:pt x="0" y="0"/>
                            </a:lnTo>
                            <a:close/>
                          </a:path>
                        </a:pathLst>
                      </a:custGeom>
                      <a:solidFill>
                        <a:srgbClr val="8EFE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5F44B" id="Rectangle 2" o:spid="_x0000_s1026" style="position:absolute;margin-left:-27.75pt;margin-top:-24.9pt;width:573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0,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" path="m,l7334250,r,520676l,733425,,xe" fillcolor="#8efe9a" stroked="f" strokeweight="1pt">
              <v:stroke joinstyle="miter"/>
              <v:path arrowok="t" o:connecttype="custom" o:connectlocs="0,0;7277100,0;7277100,885825;0,1247775;0,0" o:connectangles="0,0,0,0,0"/>
            </v:shape>
          </w:pict>
        </mc:Fallback>
      </mc:AlternateContent>
    </w:r>
  </w:p>
  <w:p w14:paraId="4289AE4F" w14:textId="440245CF" w:rsidR="001857A2" w:rsidRDefault="00185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B3FC2"/>
    <w:multiLevelType w:val="hybridMultilevel"/>
    <w:tmpl w:val="4D3A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F0B95"/>
    <w:multiLevelType w:val="hybridMultilevel"/>
    <w:tmpl w:val="E5E4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65604"/>
    <w:multiLevelType w:val="hybridMultilevel"/>
    <w:tmpl w:val="60E8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604A76"/>
    <w:multiLevelType w:val="hybridMultilevel"/>
    <w:tmpl w:val="D788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219699">
    <w:abstractNumId w:val="3"/>
  </w:num>
  <w:num w:numId="2" w16cid:durableId="895050157">
    <w:abstractNumId w:val="1"/>
  </w:num>
  <w:num w:numId="3" w16cid:durableId="2088187882">
    <w:abstractNumId w:val="0"/>
  </w:num>
  <w:num w:numId="4" w16cid:durableId="1626810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87"/>
    <w:rsid w:val="00013DA0"/>
    <w:rsid w:val="00014C9D"/>
    <w:rsid w:val="00023DC3"/>
    <w:rsid w:val="00043211"/>
    <w:rsid w:val="00055286"/>
    <w:rsid w:val="00096D43"/>
    <w:rsid w:val="000B7D26"/>
    <w:rsid w:val="000D11E0"/>
    <w:rsid w:val="000E1B87"/>
    <w:rsid w:val="000F1301"/>
    <w:rsid w:val="000F7D31"/>
    <w:rsid w:val="001857A2"/>
    <w:rsid w:val="00196643"/>
    <w:rsid w:val="001C0E70"/>
    <w:rsid w:val="0020160D"/>
    <w:rsid w:val="002C75A7"/>
    <w:rsid w:val="002E31BF"/>
    <w:rsid w:val="002E640B"/>
    <w:rsid w:val="003139C1"/>
    <w:rsid w:val="0032203C"/>
    <w:rsid w:val="0033233A"/>
    <w:rsid w:val="00354D0C"/>
    <w:rsid w:val="0036576F"/>
    <w:rsid w:val="00375940"/>
    <w:rsid w:val="00397AFD"/>
    <w:rsid w:val="003D29FC"/>
    <w:rsid w:val="003F4CCC"/>
    <w:rsid w:val="00411BFC"/>
    <w:rsid w:val="0042052F"/>
    <w:rsid w:val="004218E4"/>
    <w:rsid w:val="0042474D"/>
    <w:rsid w:val="00456295"/>
    <w:rsid w:val="00466BB4"/>
    <w:rsid w:val="0047335C"/>
    <w:rsid w:val="00473510"/>
    <w:rsid w:val="00501844"/>
    <w:rsid w:val="005254E6"/>
    <w:rsid w:val="00540423"/>
    <w:rsid w:val="00542FA2"/>
    <w:rsid w:val="005549E7"/>
    <w:rsid w:val="00585175"/>
    <w:rsid w:val="005C4E65"/>
    <w:rsid w:val="005E0302"/>
    <w:rsid w:val="005E331C"/>
    <w:rsid w:val="00602A25"/>
    <w:rsid w:val="006326F4"/>
    <w:rsid w:val="006D07FE"/>
    <w:rsid w:val="007067CB"/>
    <w:rsid w:val="007101FC"/>
    <w:rsid w:val="007150DD"/>
    <w:rsid w:val="00715CA9"/>
    <w:rsid w:val="00716211"/>
    <w:rsid w:val="00724672"/>
    <w:rsid w:val="00751699"/>
    <w:rsid w:val="007644D4"/>
    <w:rsid w:val="00784DDF"/>
    <w:rsid w:val="007B1827"/>
    <w:rsid w:val="007B278F"/>
    <w:rsid w:val="007B57B4"/>
    <w:rsid w:val="007C6046"/>
    <w:rsid w:val="007E4DE7"/>
    <w:rsid w:val="00844871"/>
    <w:rsid w:val="008A64A1"/>
    <w:rsid w:val="009432A1"/>
    <w:rsid w:val="00995E3D"/>
    <w:rsid w:val="009A2087"/>
    <w:rsid w:val="009A6695"/>
    <w:rsid w:val="009A78CC"/>
    <w:rsid w:val="00A00E35"/>
    <w:rsid w:val="00A07FCF"/>
    <w:rsid w:val="00A10B08"/>
    <w:rsid w:val="00A12B99"/>
    <w:rsid w:val="00A61B46"/>
    <w:rsid w:val="00AF1013"/>
    <w:rsid w:val="00AF47A2"/>
    <w:rsid w:val="00B01C49"/>
    <w:rsid w:val="00B43065"/>
    <w:rsid w:val="00B526F1"/>
    <w:rsid w:val="00B53A0D"/>
    <w:rsid w:val="00B8205D"/>
    <w:rsid w:val="00BB3191"/>
    <w:rsid w:val="00C07ECF"/>
    <w:rsid w:val="00C244E6"/>
    <w:rsid w:val="00C24EDD"/>
    <w:rsid w:val="00C43889"/>
    <w:rsid w:val="00C76FEE"/>
    <w:rsid w:val="00C839FC"/>
    <w:rsid w:val="00C939C3"/>
    <w:rsid w:val="00C948F4"/>
    <w:rsid w:val="00CA1E32"/>
    <w:rsid w:val="00CF33F5"/>
    <w:rsid w:val="00D20C4F"/>
    <w:rsid w:val="00D36200"/>
    <w:rsid w:val="00D74DFA"/>
    <w:rsid w:val="00DA6F88"/>
    <w:rsid w:val="00DF4012"/>
    <w:rsid w:val="00E3512F"/>
    <w:rsid w:val="00E516D3"/>
    <w:rsid w:val="00E610B5"/>
    <w:rsid w:val="00E74911"/>
    <w:rsid w:val="00E779BB"/>
    <w:rsid w:val="00E877D1"/>
    <w:rsid w:val="00E91373"/>
    <w:rsid w:val="00EA2089"/>
    <w:rsid w:val="00EB54E6"/>
    <w:rsid w:val="00ED03CD"/>
    <w:rsid w:val="00ED53D8"/>
    <w:rsid w:val="00EE4BBD"/>
    <w:rsid w:val="00EF389D"/>
    <w:rsid w:val="00F0054E"/>
    <w:rsid w:val="00F3207E"/>
    <w:rsid w:val="00F42570"/>
    <w:rsid w:val="00F64014"/>
    <w:rsid w:val="00FC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68AAB4"/>
  <w15:chartTrackingRefBased/>
  <w15:docId w15:val="{03D805E7-D2A5-431D-B928-BC662262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3233A"/>
    <w:rPr>
      <w:color w:val="EE7B08" w:themeColor="hyperlink"/>
      <w:u w:val="single"/>
    </w:rPr>
  </w:style>
  <w:style w:type="character" w:styleId="UnresolvedMention">
    <w:name w:val="Unresolved Mention"/>
    <w:basedOn w:val="DefaultParagraphFont"/>
    <w:uiPriority w:val="99"/>
    <w:semiHidden/>
    <w:unhideWhenUsed/>
    <w:rsid w:val="0033233A"/>
    <w:rPr>
      <w:color w:val="605E5C"/>
      <w:shd w:val="clear" w:color="auto" w:fill="E1DFDD"/>
    </w:rPr>
  </w:style>
  <w:style w:type="character" w:styleId="FollowedHyperlink">
    <w:name w:val="FollowedHyperlink"/>
    <w:basedOn w:val="DefaultParagraphFont"/>
    <w:uiPriority w:val="99"/>
    <w:semiHidden/>
    <w:unhideWhenUsed/>
    <w:rsid w:val="0033233A"/>
    <w:rPr>
      <w:color w:val="977B2D" w:themeColor="followedHyperlink"/>
      <w:u w:val="single"/>
    </w:rPr>
  </w:style>
  <w:style w:type="paragraph" w:styleId="ListParagraph">
    <w:name w:val="List Paragraph"/>
    <w:basedOn w:val="Normal"/>
    <w:uiPriority w:val="34"/>
    <w:qFormat/>
    <w:rsid w:val="008A64A1"/>
    <w:pPr>
      <w:ind w:left="720"/>
      <w:contextualSpacing/>
    </w:pPr>
  </w:style>
  <w:style w:type="paragraph" w:styleId="NormalWeb">
    <w:name w:val="Normal (Web)"/>
    <w:basedOn w:val="Normal"/>
    <w:uiPriority w:val="99"/>
    <w:unhideWhenUsed/>
    <w:rsid w:val="006326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85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7A2"/>
  </w:style>
  <w:style w:type="paragraph" w:styleId="Footer">
    <w:name w:val="footer"/>
    <w:basedOn w:val="Normal"/>
    <w:link w:val="FooterChar"/>
    <w:uiPriority w:val="99"/>
    <w:unhideWhenUsed/>
    <w:rsid w:val="00185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7A2"/>
  </w:style>
  <w:style w:type="paragraph" w:customStyle="1" w:styleId="Default">
    <w:name w:val="Default"/>
    <w:rsid w:val="002C75A7"/>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22732">
      <w:bodyDiv w:val="1"/>
      <w:marLeft w:val="0"/>
      <w:marRight w:val="0"/>
      <w:marTop w:val="0"/>
      <w:marBottom w:val="0"/>
      <w:divBdr>
        <w:top w:val="none" w:sz="0" w:space="0" w:color="auto"/>
        <w:left w:val="none" w:sz="0" w:space="0" w:color="auto"/>
        <w:bottom w:val="none" w:sz="0" w:space="0" w:color="auto"/>
        <w:right w:val="none" w:sz="0" w:space="0" w:color="auto"/>
      </w:divBdr>
    </w:div>
    <w:div w:id="1364095130">
      <w:bodyDiv w:val="1"/>
      <w:marLeft w:val="0"/>
      <w:marRight w:val="0"/>
      <w:marTop w:val="0"/>
      <w:marBottom w:val="0"/>
      <w:divBdr>
        <w:top w:val="none" w:sz="0" w:space="0" w:color="auto"/>
        <w:left w:val="none" w:sz="0" w:space="0" w:color="auto"/>
        <w:bottom w:val="none" w:sz="0" w:space="0" w:color="auto"/>
        <w:right w:val="none" w:sz="0" w:space="0" w:color="auto"/>
      </w:divBdr>
    </w:div>
    <w:div w:id="1435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fordsendiass@barnardos.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rnardossendiass.org.uk/bradford-sendia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rnardos.org.uk/bradfordsendia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Cahill</dc:creator>
  <cp:keywords/>
  <dc:description/>
  <cp:lastModifiedBy>Heidi Simmen</cp:lastModifiedBy>
  <cp:revision>2</cp:revision>
  <cp:lastPrinted>2024-10-08T12:57:00Z</cp:lastPrinted>
  <dcterms:created xsi:type="dcterms:W3CDTF">2025-10-16T14:37:00Z</dcterms:created>
  <dcterms:modified xsi:type="dcterms:W3CDTF">2025-10-16T14:37:00Z</dcterms:modified>
</cp:coreProperties>
</file>