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D326" w14:textId="77777777" w:rsidR="006A5D72" w:rsidRPr="006A5D72" w:rsidRDefault="006A5D72" w:rsidP="006A5D72">
      <w:pPr>
        <w:jc w:val="center"/>
        <w:rPr>
          <w:rFonts w:ascii="Inter Light" w:hAnsi="Inter Light"/>
          <w:b/>
          <w:color w:val="0B463D"/>
          <w:sz w:val="36"/>
          <w:szCs w:val="36"/>
        </w:rPr>
      </w:pPr>
      <w:r w:rsidRPr="006A5D72">
        <w:rPr>
          <w:rFonts w:ascii="Inter Light" w:hAnsi="Inter Light"/>
          <w:b/>
          <w:color w:val="0B463D"/>
          <w:sz w:val="36"/>
          <w:szCs w:val="36"/>
        </w:rPr>
        <w:t>Appealing the Needs (Section B) and/or Provision (Section F) of an EHC Plan.</w:t>
      </w:r>
    </w:p>
    <w:p w14:paraId="01EF3771" w14:textId="77777777" w:rsidR="006A5D72" w:rsidRPr="006A5D72" w:rsidRDefault="006A5D72" w:rsidP="006A5D72">
      <w:pPr>
        <w:rPr>
          <w:rFonts w:ascii="Inter Light" w:hAnsi="Inter Light"/>
          <w:color w:val="0B463D"/>
        </w:rPr>
      </w:pPr>
    </w:p>
    <w:p w14:paraId="512EAD56" w14:textId="77777777" w:rsidR="006A5D72" w:rsidRPr="006A5D72" w:rsidRDefault="006A5D72" w:rsidP="006A5D72">
      <w:pPr>
        <w:rPr>
          <w:rFonts w:ascii="Inter Light" w:hAnsi="Inter Light"/>
          <w:color w:val="0B463D"/>
        </w:rPr>
      </w:pPr>
      <w:r w:rsidRPr="006A5D72">
        <w:rPr>
          <w:rFonts w:ascii="Inter Light" w:hAnsi="Inter Light"/>
          <w:color w:val="0B463D"/>
        </w:rPr>
        <w:t>This information will also be helpful if you are appealing the school/setting or type of school/setting named, as the contents of the plan are relevant to the appeal.</w:t>
      </w:r>
    </w:p>
    <w:p w14:paraId="0C7D44CE" w14:textId="77777777" w:rsidR="006A5D72" w:rsidRPr="006A5D72" w:rsidRDefault="006A5D72" w:rsidP="006A5D72">
      <w:pPr>
        <w:rPr>
          <w:rFonts w:ascii="Inter Light" w:hAnsi="Inter Light"/>
          <w:color w:val="0B463D"/>
        </w:rPr>
      </w:pPr>
      <w:r w:rsidRPr="006A5D72">
        <w:rPr>
          <w:rFonts w:ascii="Inter Light" w:hAnsi="Inter Light"/>
          <w:color w:val="0B463D"/>
        </w:rPr>
        <w:t>It is always a good idea to continue talking to the local authority about your concerns or any questions that you have. Further information could help you to decide whether to appeal, and if you do decide to then it will help to build your case.</w:t>
      </w:r>
    </w:p>
    <w:p w14:paraId="7A26BA33" w14:textId="77777777" w:rsidR="006A5D72" w:rsidRPr="006A5D72" w:rsidRDefault="006A5D72" w:rsidP="006A5D72">
      <w:pPr>
        <w:rPr>
          <w:rFonts w:ascii="Inter Light" w:hAnsi="Inter Light"/>
          <w:color w:val="0B463D"/>
        </w:rPr>
      </w:pPr>
      <w:r w:rsidRPr="006A5D72">
        <w:rPr>
          <w:rFonts w:ascii="Inter Light" w:hAnsi="Inter Light"/>
          <w:color w:val="0B463D"/>
        </w:rPr>
        <w:t xml:space="preserve">Before appealing, you must first consider </w:t>
      </w:r>
      <w:r w:rsidRPr="006A5D72">
        <w:rPr>
          <w:rFonts w:ascii="Inter Light" w:hAnsi="Inter Light"/>
          <w:b/>
          <w:color w:val="0B463D"/>
        </w:rPr>
        <w:t>mediation</w:t>
      </w:r>
      <w:r w:rsidRPr="006A5D72">
        <w:rPr>
          <w:rFonts w:ascii="Inter Light" w:hAnsi="Inter Light"/>
          <w:color w:val="0B463D"/>
        </w:rPr>
        <w:t xml:space="preserve">, which can be </w:t>
      </w:r>
      <w:proofErr w:type="gramStart"/>
      <w:r w:rsidRPr="006A5D72">
        <w:rPr>
          <w:rFonts w:ascii="Inter Light" w:hAnsi="Inter Light"/>
          <w:color w:val="0B463D"/>
        </w:rPr>
        <w:t>really useful</w:t>
      </w:r>
      <w:proofErr w:type="gramEnd"/>
      <w:r w:rsidRPr="006A5D72">
        <w:rPr>
          <w:rFonts w:ascii="Inter Light" w:hAnsi="Inter Light"/>
          <w:color w:val="0B463D"/>
        </w:rPr>
        <w:t>, for example where:</w:t>
      </w:r>
    </w:p>
    <w:p w14:paraId="497DC14D" w14:textId="77777777" w:rsidR="006A5D72" w:rsidRPr="006A5D72" w:rsidRDefault="006A5D72" w:rsidP="006A5D72">
      <w:pPr>
        <w:pStyle w:val="ListParagraph"/>
        <w:numPr>
          <w:ilvl w:val="0"/>
          <w:numId w:val="4"/>
        </w:numPr>
        <w:spacing w:after="0" w:line="240" w:lineRule="auto"/>
        <w:rPr>
          <w:rFonts w:ascii="Inter Light" w:hAnsi="Inter Light"/>
          <w:color w:val="0B463D"/>
        </w:rPr>
      </w:pPr>
      <w:r w:rsidRPr="006A5D72">
        <w:rPr>
          <w:rFonts w:ascii="Inter Light" w:hAnsi="Inter Light"/>
          <w:color w:val="0B463D"/>
        </w:rPr>
        <w:t>You would like an opportunity to discuss your issues, and to find     out more about how the local authority reached their decision</w:t>
      </w:r>
    </w:p>
    <w:p w14:paraId="786D8587" w14:textId="77777777" w:rsidR="006A5D72" w:rsidRPr="006A5D72" w:rsidRDefault="006A5D72" w:rsidP="006A5D72">
      <w:pPr>
        <w:pStyle w:val="ListParagraph"/>
        <w:numPr>
          <w:ilvl w:val="0"/>
          <w:numId w:val="4"/>
        </w:numPr>
        <w:spacing w:after="0" w:line="240" w:lineRule="auto"/>
        <w:rPr>
          <w:rFonts w:ascii="Inter Light" w:hAnsi="Inter Light"/>
          <w:color w:val="0B463D"/>
        </w:rPr>
      </w:pPr>
      <w:r w:rsidRPr="006A5D72">
        <w:rPr>
          <w:rFonts w:ascii="Inter Light" w:hAnsi="Inter Light"/>
          <w:color w:val="0B463D"/>
        </w:rPr>
        <w:t>You have some additional information or a new report that you would like to share with the local authority</w:t>
      </w:r>
    </w:p>
    <w:p w14:paraId="1CA89517" w14:textId="77777777" w:rsidR="006A5D72" w:rsidRPr="006A5D72" w:rsidRDefault="006A5D72" w:rsidP="006A5D72">
      <w:pPr>
        <w:pStyle w:val="ListParagraph"/>
        <w:numPr>
          <w:ilvl w:val="0"/>
          <w:numId w:val="4"/>
        </w:numPr>
        <w:spacing w:after="0" w:line="240" w:lineRule="auto"/>
        <w:rPr>
          <w:rFonts w:ascii="Inter Light" w:hAnsi="Inter Light"/>
          <w:color w:val="0B463D"/>
        </w:rPr>
      </w:pPr>
      <w:r w:rsidRPr="006A5D72">
        <w:rPr>
          <w:rFonts w:ascii="Inter Light" w:hAnsi="Inter Light"/>
          <w:color w:val="0B463D"/>
        </w:rPr>
        <w:t xml:space="preserve">The local authority </w:t>
      </w:r>
      <w:proofErr w:type="gramStart"/>
      <w:r w:rsidRPr="006A5D72">
        <w:rPr>
          <w:rFonts w:ascii="Inter Light" w:hAnsi="Inter Light"/>
          <w:color w:val="0B463D"/>
        </w:rPr>
        <w:t>have</w:t>
      </w:r>
      <w:proofErr w:type="gramEnd"/>
      <w:r w:rsidRPr="006A5D72">
        <w:rPr>
          <w:rFonts w:ascii="Inter Light" w:hAnsi="Inter Light"/>
          <w:color w:val="0B463D"/>
        </w:rPr>
        <w:t xml:space="preserve"> omitted to include information provided during assessment</w:t>
      </w:r>
    </w:p>
    <w:p w14:paraId="0A6C4F60" w14:textId="77777777" w:rsidR="006A5D72" w:rsidRPr="006A5D72" w:rsidRDefault="006A5D72" w:rsidP="006A5D72">
      <w:pPr>
        <w:pStyle w:val="ListParagraph"/>
        <w:numPr>
          <w:ilvl w:val="0"/>
          <w:numId w:val="4"/>
        </w:numPr>
        <w:spacing w:after="0" w:line="240" w:lineRule="auto"/>
        <w:rPr>
          <w:rFonts w:ascii="Inter Light" w:hAnsi="Inter Light"/>
          <w:color w:val="0B463D"/>
        </w:rPr>
      </w:pPr>
      <w:r w:rsidRPr="006A5D72">
        <w:rPr>
          <w:rFonts w:ascii="Inter Light" w:hAnsi="Inter Light"/>
          <w:color w:val="0B463D"/>
        </w:rPr>
        <w:t>You believe further assessment is required to determine your child’s needs</w:t>
      </w:r>
    </w:p>
    <w:p w14:paraId="782DDC4E" w14:textId="77777777" w:rsidR="006A5D72" w:rsidRPr="006A5D72" w:rsidRDefault="006A5D72" w:rsidP="006A5D72">
      <w:pPr>
        <w:rPr>
          <w:rFonts w:ascii="Inter Light" w:hAnsi="Inter Light"/>
          <w:color w:val="0B463D"/>
        </w:rPr>
      </w:pPr>
    </w:p>
    <w:p w14:paraId="126992A7" w14:textId="77777777" w:rsidR="006A5D72" w:rsidRPr="006A5D72" w:rsidRDefault="006A5D72" w:rsidP="006A5D72">
      <w:pPr>
        <w:rPr>
          <w:rFonts w:ascii="Inter Light" w:hAnsi="Inter Light"/>
          <w:color w:val="0B463D"/>
        </w:rPr>
      </w:pPr>
      <w:r w:rsidRPr="006A5D72">
        <w:rPr>
          <w:rFonts w:ascii="Inter Light" w:hAnsi="Inter Light"/>
          <w:color w:val="0B463D"/>
        </w:rPr>
        <w:t>It is possible following mediation that the local authority will agree to amend the plan, or arrange for further assessment, thereby avoiding the need to appeal. If, after mediation, you decide to pursue an appeal, you must complete the SEND35 appeal form. This needs to be sent to the tribunal service along with a copy of the mediation certificate and the decision letter within 4 weeks of the date on the mediation certificate, or 8 weeks from the date of the decision letter, whichever is the longest (see our appeals process guide for more information).</w:t>
      </w:r>
    </w:p>
    <w:p w14:paraId="63FC9D87" w14:textId="77777777" w:rsidR="006A5D72" w:rsidRPr="006A5D72" w:rsidRDefault="006A5D72" w:rsidP="006A5D72">
      <w:pPr>
        <w:rPr>
          <w:rFonts w:ascii="Inter Light" w:hAnsi="Inter Light"/>
          <w:color w:val="0B463D"/>
        </w:rPr>
      </w:pPr>
      <w:r w:rsidRPr="006A5D72">
        <w:rPr>
          <w:rFonts w:ascii="Inter Light" w:hAnsi="Inter Light"/>
          <w:color w:val="0B463D"/>
        </w:rPr>
        <w:t xml:space="preserve">The following information will help you to prepare for the appeal </w:t>
      </w:r>
      <w:proofErr w:type="gramStart"/>
      <w:r w:rsidRPr="006A5D72">
        <w:rPr>
          <w:rFonts w:ascii="Inter Light" w:hAnsi="Inter Light"/>
          <w:color w:val="0B463D"/>
        </w:rPr>
        <w:t>with regard to</w:t>
      </w:r>
      <w:proofErr w:type="gramEnd"/>
      <w:r w:rsidRPr="006A5D72">
        <w:rPr>
          <w:rFonts w:ascii="Inter Light" w:hAnsi="Inter Light"/>
          <w:color w:val="0B463D"/>
        </w:rPr>
        <w:t xml:space="preserve"> the contents of the plan.</w:t>
      </w:r>
    </w:p>
    <w:p w14:paraId="6D342992" w14:textId="77777777" w:rsidR="006A5D72" w:rsidRDefault="006A5D72" w:rsidP="006A5D72">
      <w:pPr>
        <w:rPr>
          <w:rFonts w:ascii="Inter Light" w:hAnsi="Inter Light"/>
          <w:b/>
          <w:color w:val="0B463D"/>
        </w:rPr>
      </w:pPr>
    </w:p>
    <w:p w14:paraId="6B570063" w14:textId="7E108152" w:rsidR="006A5D72" w:rsidRPr="006A5D72" w:rsidRDefault="006A5D72" w:rsidP="006A5D72">
      <w:pPr>
        <w:rPr>
          <w:rFonts w:ascii="Inter Light" w:hAnsi="Inter Light"/>
          <w:b/>
          <w:color w:val="0B463D"/>
        </w:rPr>
      </w:pPr>
      <w:r w:rsidRPr="006A5D72">
        <w:rPr>
          <w:rFonts w:ascii="Inter Light" w:hAnsi="Inter Light"/>
          <w:b/>
          <w:color w:val="0B463D"/>
        </w:rPr>
        <w:t>The legal position</w:t>
      </w:r>
    </w:p>
    <w:p w14:paraId="1318BCDC" w14:textId="5A3E1395" w:rsidR="006A5D72" w:rsidRPr="006A5D72" w:rsidRDefault="006A5D72" w:rsidP="006A5D72">
      <w:pPr>
        <w:rPr>
          <w:rFonts w:ascii="Inter Light" w:hAnsi="Inter Light"/>
          <w:color w:val="0B463D"/>
        </w:rPr>
      </w:pPr>
      <w:r w:rsidRPr="006A5D72">
        <w:rPr>
          <w:rFonts w:ascii="Inter Light" w:hAnsi="Inter Light"/>
          <w:color w:val="0B463D"/>
        </w:rPr>
        <w:t>The Children and Families Act 2014 says:</w:t>
      </w:r>
    </w:p>
    <w:p w14:paraId="4AA84F0F" w14:textId="1A823171" w:rsidR="006A5D72" w:rsidRPr="006A5D72" w:rsidRDefault="006A5D72" w:rsidP="006A5D72">
      <w:pPr>
        <w:rPr>
          <w:rFonts w:ascii="Inter Light" w:hAnsi="Inter Light"/>
          <w:color w:val="0B463D"/>
        </w:rPr>
      </w:pPr>
      <w:r w:rsidRPr="006A5D72">
        <w:rPr>
          <w:rFonts w:ascii="Inter Light" w:hAnsi="Inter Light"/>
          <w:color w:val="0B463D"/>
        </w:rPr>
        <w:t>...an EHC plan is a plan specifying—</w:t>
      </w:r>
    </w:p>
    <w:p w14:paraId="35EDC745" w14:textId="77777777" w:rsidR="006A5D72" w:rsidRPr="006A5D72" w:rsidRDefault="006A5D72" w:rsidP="006A5D72">
      <w:pPr>
        <w:pStyle w:val="ListParagraph"/>
        <w:numPr>
          <w:ilvl w:val="0"/>
          <w:numId w:val="8"/>
        </w:numPr>
        <w:spacing w:after="0" w:line="240" w:lineRule="auto"/>
        <w:rPr>
          <w:rFonts w:ascii="Inter Light" w:hAnsi="Inter Light"/>
          <w:color w:val="0B463D"/>
        </w:rPr>
      </w:pPr>
      <w:r w:rsidRPr="006A5D72">
        <w:rPr>
          <w:rFonts w:ascii="Inter Light" w:hAnsi="Inter Light"/>
          <w:color w:val="0B463D"/>
        </w:rPr>
        <w:t xml:space="preserve">the child’s or young person’s special educational </w:t>
      </w:r>
      <w:proofErr w:type="gramStart"/>
      <w:r w:rsidRPr="006A5D72">
        <w:rPr>
          <w:rFonts w:ascii="Inter Light" w:hAnsi="Inter Light"/>
          <w:color w:val="0B463D"/>
        </w:rPr>
        <w:t>needs;</w:t>
      </w:r>
      <w:proofErr w:type="gramEnd"/>
    </w:p>
    <w:p w14:paraId="7E026D37" w14:textId="77777777" w:rsidR="006A5D72" w:rsidRPr="006A5D72" w:rsidRDefault="006A5D72" w:rsidP="006A5D72">
      <w:pPr>
        <w:pStyle w:val="ListParagraph"/>
        <w:numPr>
          <w:ilvl w:val="0"/>
          <w:numId w:val="5"/>
        </w:numPr>
        <w:spacing w:after="0" w:line="240" w:lineRule="auto"/>
        <w:rPr>
          <w:rFonts w:ascii="Inter Light" w:hAnsi="Inter Light"/>
          <w:color w:val="0B463D"/>
        </w:rPr>
      </w:pPr>
      <w:r w:rsidRPr="006A5D72">
        <w:rPr>
          <w:rFonts w:ascii="Inter Light" w:hAnsi="Inter Light"/>
          <w:color w:val="0B463D"/>
        </w:rPr>
        <w:t>the special educational provision required by him or her; (37 (2))</w:t>
      </w:r>
    </w:p>
    <w:p w14:paraId="3E24DE4D" w14:textId="77777777" w:rsidR="006A5D72" w:rsidRPr="006A5D72" w:rsidRDefault="006A5D72" w:rsidP="006A5D72">
      <w:pPr>
        <w:rPr>
          <w:rFonts w:ascii="Inter Light" w:hAnsi="Inter Light"/>
          <w:color w:val="0B463D"/>
        </w:rPr>
      </w:pPr>
      <w:r w:rsidRPr="006A5D72">
        <w:rPr>
          <w:rFonts w:ascii="Inter Light" w:hAnsi="Inter Light"/>
          <w:color w:val="0B463D"/>
        </w:rPr>
        <w:t>And:</w:t>
      </w:r>
    </w:p>
    <w:p w14:paraId="27710B9D" w14:textId="77777777" w:rsidR="006A5D72" w:rsidRPr="006A5D72" w:rsidRDefault="006A5D72" w:rsidP="006A5D72">
      <w:pPr>
        <w:pStyle w:val="ListParagraph"/>
        <w:numPr>
          <w:ilvl w:val="0"/>
          <w:numId w:val="7"/>
        </w:numPr>
        <w:spacing w:after="0" w:line="240" w:lineRule="auto"/>
        <w:rPr>
          <w:rFonts w:ascii="Inter Light" w:hAnsi="Inter Light"/>
          <w:color w:val="0B463D"/>
        </w:rPr>
      </w:pPr>
      <w:r w:rsidRPr="006A5D72">
        <w:rPr>
          <w:rFonts w:ascii="Inter Light" w:hAnsi="Inter Light"/>
          <w:color w:val="0B463D"/>
        </w:rPr>
        <w:t>Health care provision or social care provision which educates or trains a child or young person is to be treated as special educational provision (instead of health care provision or social care provision). (21 (5))</w:t>
      </w:r>
    </w:p>
    <w:p w14:paraId="36D73F22" w14:textId="77777777" w:rsidR="006A5D72" w:rsidRPr="006A5D72" w:rsidRDefault="006A5D72" w:rsidP="006A5D72">
      <w:pPr>
        <w:rPr>
          <w:rFonts w:ascii="Inter Light" w:hAnsi="Inter Light"/>
          <w:color w:val="0B463D"/>
        </w:rPr>
      </w:pPr>
    </w:p>
    <w:p w14:paraId="7A9DBE8F" w14:textId="77777777" w:rsidR="006A5D72" w:rsidRPr="006A5D72" w:rsidRDefault="006A5D72" w:rsidP="006A5D72">
      <w:pPr>
        <w:rPr>
          <w:rFonts w:ascii="Inter Light" w:hAnsi="Inter Light"/>
          <w:color w:val="0B463D"/>
        </w:rPr>
      </w:pPr>
      <w:r w:rsidRPr="006A5D72">
        <w:rPr>
          <w:rFonts w:ascii="Inter Light" w:hAnsi="Inter Light"/>
          <w:color w:val="0B463D"/>
        </w:rPr>
        <w:lastRenderedPageBreak/>
        <w:t>The SEND Regulations (section 12) say that each section of an EHC plan must be separately identified.</w:t>
      </w:r>
    </w:p>
    <w:p w14:paraId="10A47188" w14:textId="77777777" w:rsidR="006A5D72" w:rsidRPr="006A5D72" w:rsidRDefault="006A5D72" w:rsidP="006A5D72">
      <w:pPr>
        <w:rPr>
          <w:rFonts w:ascii="Inter Light" w:hAnsi="Inter Light"/>
          <w:color w:val="0B463D"/>
        </w:rPr>
      </w:pPr>
    </w:p>
    <w:p w14:paraId="292D1053" w14:textId="0FAF8EA0" w:rsidR="006A5D72" w:rsidRPr="006A5D72" w:rsidRDefault="006A5D72" w:rsidP="006A5D72">
      <w:pPr>
        <w:rPr>
          <w:rFonts w:ascii="Inter Light" w:hAnsi="Inter Light"/>
          <w:b/>
          <w:color w:val="0B463D"/>
        </w:rPr>
      </w:pPr>
      <w:r w:rsidRPr="006A5D72">
        <w:rPr>
          <w:rFonts w:ascii="Inter Light" w:hAnsi="Inter Light"/>
          <w:b/>
          <w:color w:val="0B463D"/>
        </w:rPr>
        <w:t>So, what does this mean?</w:t>
      </w:r>
    </w:p>
    <w:p w14:paraId="40D80144" w14:textId="77777777" w:rsidR="006A5D72" w:rsidRPr="006A5D72" w:rsidRDefault="006A5D72" w:rsidP="006A5D72">
      <w:pPr>
        <w:rPr>
          <w:rFonts w:ascii="Inter Light" w:hAnsi="Inter Light"/>
          <w:color w:val="0B463D"/>
        </w:rPr>
      </w:pPr>
      <w:r w:rsidRPr="006A5D72">
        <w:rPr>
          <w:rFonts w:ascii="Inter Light" w:hAnsi="Inter Light"/>
          <w:color w:val="0B463D"/>
        </w:rPr>
        <w:t xml:space="preserve">It is </w:t>
      </w:r>
      <w:proofErr w:type="gramStart"/>
      <w:r w:rsidRPr="006A5D72">
        <w:rPr>
          <w:rFonts w:ascii="Inter Light" w:hAnsi="Inter Light"/>
          <w:color w:val="0B463D"/>
        </w:rPr>
        <w:t>really important</w:t>
      </w:r>
      <w:proofErr w:type="gramEnd"/>
      <w:r w:rsidRPr="006A5D72">
        <w:rPr>
          <w:rFonts w:ascii="Inter Light" w:hAnsi="Inter Light"/>
          <w:color w:val="0B463D"/>
        </w:rPr>
        <w:t xml:space="preserve"> that sections B and F accurately reflect your child/young person's Special Educational Needs and Provision, including any related health or care provision which educates or trains your child.</w:t>
      </w:r>
    </w:p>
    <w:p w14:paraId="39B561A0" w14:textId="77777777" w:rsidR="006A5D72" w:rsidRPr="006A5D72" w:rsidRDefault="006A5D72" w:rsidP="006A5D72">
      <w:pPr>
        <w:rPr>
          <w:rFonts w:ascii="Inter Light" w:hAnsi="Inter Light"/>
          <w:color w:val="0B463D"/>
        </w:rPr>
      </w:pPr>
    </w:p>
    <w:p w14:paraId="02AECAA7" w14:textId="5CFF4A0B" w:rsidR="006A5D72" w:rsidRPr="006A5D72" w:rsidRDefault="006A5D72" w:rsidP="006A5D72">
      <w:pPr>
        <w:rPr>
          <w:rFonts w:ascii="Inter Light" w:hAnsi="Inter Light"/>
          <w:b/>
          <w:color w:val="0B463D"/>
        </w:rPr>
      </w:pPr>
      <w:r w:rsidRPr="006A5D72">
        <w:rPr>
          <w:rFonts w:ascii="Inter Light" w:hAnsi="Inter Light"/>
          <w:b/>
          <w:color w:val="0B463D"/>
        </w:rPr>
        <w:t>Preparing for Appeal</w:t>
      </w:r>
    </w:p>
    <w:p w14:paraId="06A11973" w14:textId="77777777" w:rsidR="006A5D72" w:rsidRPr="006A5D72" w:rsidRDefault="006A5D72" w:rsidP="006A5D72">
      <w:pPr>
        <w:rPr>
          <w:rFonts w:ascii="Inter Light" w:hAnsi="Inter Light"/>
          <w:color w:val="0B463D"/>
        </w:rPr>
      </w:pPr>
      <w:r w:rsidRPr="006A5D72">
        <w:rPr>
          <w:rFonts w:ascii="Inter Light" w:hAnsi="Inter Light"/>
          <w:color w:val="0B463D"/>
        </w:rPr>
        <w:t>Your appeal needs to explain and evidence the reasons why you believe it is necessary for the special educational needs and provision to be amended in the EHC plan.</w:t>
      </w:r>
    </w:p>
    <w:p w14:paraId="6D5A0DC5" w14:textId="77777777" w:rsidR="006A5D72" w:rsidRPr="006A5D72" w:rsidRDefault="006A5D72" w:rsidP="006A5D72">
      <w:pPr>
        <w:rPr>
          <w:rFonts w:ascii="Inter Light" w:hAnsi="Inter Light"/>
          <w:color w:val="0B463D"/>
        </w:rPr>
      </w:pPr>
    </w:p>
    <w:p w14:paraId="32CF29DB" w14:textId="77777777" w:rsidR="006A5D72" w:rsidRPr="006A5D72" w:rsidRDefault="006A5D72" w:rsidP="006A5D72">
      <w:pPr>
        <w:rPr>
          <w:rFonts w:ascii="Inter Light" w:hAnsi="Inter Light"/>
          <w:color w:val="0B463D"/>
        </w:rPr>
      </w:pPr>
      <w:r w:rsidRPr="006A5D72">
        <w:rPr>
          <w:rFonts w:ascii="Inter Light" w:hAnsi="Inter Light"/>
          <w:color w:val="0B463D"/>
        </w:rPr>
        <w:t xml:space="preserve">If there has been a recent EHC needs assessment, start by looking at the professional reports and cross-reference them with the EHC plan. It could be helpful to use a highlighter pen to help you see each identified need, and to ensure that each of these has corresponding provision, both within a report and again with the EHC plan. </w:t>
      </w:r>
    </w:p>
    <w:p w14:paraId="50858575" w14:textId="77777777" w:rsidR="006A5D72" w:rsidRPr="006A5D72" w:rsidRDefault="006A5D72" w:rsidP="006A5D72">
      <w:pPr>
        <w:rPr>
          <w:rFonts w:ascii="Inter Light" w:hAnsi="Inter Light"/>
          <w:b/>
          <w:color w:val="0B463D"/>
        </w:rPr>
      </w:pPr>
    </w:p>
    <w:p w14:paraId="003FD6ED" w14:textId="48C8717F" w:rsidR="006A5D72" w:rsidRPr="006A5D72" w:rsidRDefault="006A5D72" w:rsidP="006A5D72">
      <w:pPr>
        <w:rPr>
          <w:rFonts w:ascii="Inter Light" w:hAnsi="Inter Light"/>
          <w:b/>
          <w:color w:val="0B463D"/>
        </w:rPr>
      </w:pPr>
      <w:r w:rsidRPr="006A5D72">
        <w:rPr>
          <w:rFonts w:ascii="Inter Light" w:hAnsi="Inter Light"/>
          <w:b/>
          <w:color w:val="0B463D"/>
        </w:rPr>
        <w:t>Supporting Evidence</w:t>
      </w:r>
    </w:p>
    <w:p w14:paraId="2C24FFFD" w14:textId="77777777" w:rsidR="006A5D72" w:rsidRPr="006A5D72" w:rsidRDefault="006A5D72" w:rsidP="006A5D72">
      <w:pPr>
        <w:rPr>
          <w:rFonts w:ascii="Inter Light" w:hAnsi="Inter Light"/>
          <w:color w:val="0B463D"/>
        </w:rPr>
      </w:pPr>
      <w:r w:rsidRPr="006A5D72">
        <w:rPr>
          <w:rFonts w:ascii="Inter Light" w:hAnsi="Inter Light"/>
          <w:color w:val="0B463D"/>
        </w:rPr>
        <w:t>Listed below are some examples of supporting evidence. They may not all be relevant to your case.</w:t>
      </w:r>
    </w:p>
    <w:p w14:paraId="2B8152D4" w14:textId="77777777" w:rsidR="006A5D72" w:rsidRPr="006A5D72" w:rsidRDefault="006A5D72" w:rsidP="006A5D72">
      <w:pPr>
        <w:pStyle w:val="ListParagraph"/>
        <w:numPr>
          <w:ilvl w:val="0"/>
          <w:numId w:val="6"/>
        </w:numPr>
        <w:spacing w:after="0" w:line="240" w:lineRule="auto"/>
        <w:rPr>
          <w:rFonts w:ascii="Inter Light" w:hAnsi="Inter Light"/>
          <w:color w:val="0B463D"/>
        </w:rPr>
      </w:pPr>
      <w:r w:rsidRPr="006A5D72">
        <w:rPr>
          <w:rFonts w:ascii="Inter Light" w:hAnsi="Inter Light"/>
          <w:color w:val="0B463D"/>
        </w:rPr>
        <w:t>Your child/young person's views – this can be a short video</w:t>
      </w:r>
    </w:p>
    <w:p w14:paraId="1B534C03" w14:textId="77777777" w:rsidR="006A5D72" w:rsidRPr="006A5D72" w:rsidRDefault="006A5D72" w:rsidP="006A5D72">
      <w:pPr>
        <w:pStyle w:val="ListParagraph"/>
        <w:numPr>
          <w:ilvl w:val="0"/>
          <w:numId w:val="6"/>
        </w:numPr>
        <w:spacing w:after="0" w:line="240" w:lineRule="auto"/>
        <w:rPr>
          <w:rFonts w:ascii="Inter Light" w:hAnsi="Inter Light"/>
          <w:color w:val="0B463D"/>
        </w:rPr>
      </w:pPr>
      <w:r w:rsidRPr="006A5D72">
        <w:rPr>
          <w:rFonts w:ascii="Inter Light" w:hAnsi="Inter Light"/>
          <w:color w:val="0B463D"/>
        </w:rPr>
        <w:t>Your own views</w:t>
      </w:r>
    </w:p>
    <w:p w14:paraId="6597BD05" w14:textId="77777777" w:rsidR="006A5D72" w:rsidRPr="006A5D72" w:rsidRDefault="006A5D72" w:rsidP="006A5D72">
      <w:pPr>
        <w:pStyle w:val="ListParagraph"/>
        <w:numPr>
          <w:ilvl w:val="0"/>
          <w:numId w:val="6"/>
        </w:numPr>
        <w:spacing w:after="0" w:line="240" w:lineRule="auto"/>
        <w:rPr>
          <w:rFonts w:ascii="Inter Light" w:hAnsi="Inter Light"/>
          <w:color w:val="0B463D"/>
        </w:rPr>
      </w:pPr>
      <w:r w:rsidRPr="006A5D72">
        <w:rPr>
          <w:rFonts w:ascii="Inter Light" w:hAnsi="Inter Light"/>
          <w:color w:val="0B463D"/>
        </w:rPr>
        <w:t>Progress reports</w:t>
      </w:r>
    </w:p>
    <w:p w14:paraId="093B4FEC" w14:textId="77777777" w:rsidR="006A5D72" w:rsidRPr="006A5D72" w:rsidRDefault="006A5D72" w:rsidP="006A5D72">
      <w:pPr>
        <w:pStyle w:val="ListParagraph"/>
        <w:numPr>
          <w:ilvl w:val="0"/>
          <w:numId w:val="6"/>
        </w:numPr>
        <w:spacing w:after="0" w:line="240" w:lineRule="auto"/>
        <w:rPr>
          <w:rFonts w:ascii="Inter Light" w:hAnsi="Inter Light"/>
          <w:color w:val="0B463D"/>
        </w:rPr>
      </w:pPr>
      <w:r w:rsidRPr="006A5D72">
        <w:rPr>
          <w:rFonts w:ascii="Inter Light" w:hAnsi="Inter Light"/>
          <w:color w:val="0B463D"/>
        </w:rPr>
        <w:t>Statements from teachers who work with your child</w:t>
      </w:r>
    </w:p>
    <w:p w14:paraId="4375C1D0" w14:textId="77777777" w:rsidR="006A5D72" w:rsidRPr="006A5D72" w:rsidRDefault="006A5D72" w:rsidP="006A5D72">
      <w:pPr>
        <w:pStyle w:val="ListParagraph"/>
        <w:numPr>
          <w:ilvl w:val="0"/>
          <w:numId w:val="6"/>
        </w:numPr>
        <w:spacing w:after="0" w:line="240" w:lineRule="auto"/>
        <w:rPr>
          <w:rFonts w:ascii="Inter Light" w:hAnsi="Inter Light"/>
          <w:color w:val="0B463D"/>
        </w:rPr>
      </w:pPr>
      <w:r w:rsidRPr="006A5D72">
        <w:rPr>
          <w:rFonts w:ascii="Inter Light" w:hAnsi="Inter Light"/>
          <w:color w:val="0B463D"/>
        </w:rPr>
        <w:t>Medical reports/assessments</w:t>
      </w:r>
    </w:p>
    <w:p w14:paraId="1799216E" w14:textId="77777777" w:rsidR="006A5D72" w:rsidRPr="006A5D72" w:rsidRDefault="006A5D72" w:rsidP="006A5D72">
      <w:pPr>
        <w:pStyle w:val="ListParagraph"/>
        <w:numPr>
          <w:ilvl w:val="0"/>
          <w:numId w:val="6"/>
        </w:numPr>
        <w:spacing w:after="0" w:line="240" w:lineRule="auto"/>
        <w:rPr>
          <w:rFonts w:ascii="Inter Light" w:hAnsi="Inter Light"/>
          <w:color w:val="0B463D"/>
        </w:rPr>
      </w:pPr>
      <w:r w:rsidRPr="006A5D72">
        <w:rPr>
          <w:rFonts w:ascii="Inter Light" w:hAnsi="Inter Light"/>
          <w:color w:val="0B463D"/>
        </w:rPr>
        <w:t>IEP/support plan/pupil passport/provision map</w:t>
      </w:r>
    </w:p>
    <w:p w14:paraId="68A43CC5" w14:textId="77777777" w:rsidR="006A5D72" w:rsidRPr="006A5D72" w:rsidRDefault="006A5D72" w:rsidP="006A5D72">
      <w:pPr>
        <w:pStyle w:val="ListParagraph"/>
        <w:numPr>
          <w:ilvl w:val="0"/>
          <w:numId w:val="6"/>
        </w:numPr>
        <w:spacing w:after="0" w:line="240" w:lineRule="auto"/>
        <w:rPr>
          <w:rFonts w:ascii="Inter Light" w:hAnsi="Inter Light"/>
          <w:color w:val="0B463D"/>
        </w:rPr>
      </w:pPr>
      <w:r w:rsidRPr="006A5D72">
        <w:rPr>
          <w:rFonts w:ascii="Inter Light" w:hAnsi="Inter Light"/>
          <w:color w:val="0B463D"/>
        </w:rPr>
        <w:t>Home/school diaries</w:t>
      </w:r>
    </w:p>
    <w:p w14:paraId="7FBC3A2A" w14:textId="77777777" w:rsidR="006A5D72" w:rsidRPr="006A5D72" w:rsidRDefault="006A5D72" w:rsidP="006A5D72">
      <w:pPr>
        <w:pStyle w:val="ListParagraph"/>
        <w:numPr>
          <w:ilvl w:val="0"/>
          <w:numId w:val="6"/>
        </w:numPr>
        <w:spacing w:after="0" w:line="240" w:lineRule="auto"/>
        <w:rPr>
          <w:rFonts w:ascii="Inter Light" w:hAnsi="Inter Light"/>
          <w:color w:val="0B463D"/>
        </w:rPr>
      </w:pPr>
      <w:r w:rsidRPr="006A5D72">
        <w:rPr>
          <w:rFonts w:ascii="Inter Light" w:hAnsi="Inter Light"/>
          <w:color w:val="0B463D"/>
        </w:rPr>
        <w:t>Assessment/specialist reports</w:t>
      </w:r>
    </w:p>
    <w:p w14:paraId="73104CF9" w14:textId="77777777" w:rsidR="006A5D72" w:rsidRPr="006A5D72" w:rsidRDefault="006A5D72" w:rsidP="006A5D72">
      <w:pPr>
        <w:pStyle w:val="ListParagraph"/>
        <w:numPr>
          <w:ilvl w:val="0"/>
          <w:numId w:val="6"/>
        </w:numPr>
        <w:spacing w:after="0" w:line="240" w:lineRule="auto"/>
        <w:rPr>
          <w:rFonts w:ascii="Inter Light" w:hAnsi="Inter Light"/>
          <w:color w:val="0B463D"/>
        </w:rPr>
      </w:pPr>
      <w:r w:rsidRPr="006A5D72">
        <w:rPr>
          <w:rFonts w:ascii="Inter Light" w:hAnsi="Inter Light"/>
          <w:color w:val="0B463D"/>
        </w:rPr>
        <w:t>Exclusion letters/reports</w:t>
      </w:r>
    </w:p>
    <w:p w14:paraId="5365E611" w14:textId="77777777" w:rsidR="006A5D72" w:rsidRPr="006A5D72" w:rsidRDefault="006A5D72" w:rsidP="006A5D72">
      <w:pPr>
        <w:pStyle w:val="ListParagraph"/>
        <w:numPr>
          <w:ilvl w:val="0"/>
          <w:numId w:val="6"/>
        </w:numPr>
        <w:spacing w:after="0" w:line="240" w:lineRule="auto"/>
        <w:rPr>
          <w:rFonts w:ascii="Inter Light" w:hAnsi="Inter Light"/>
          <w:color w:val="0B463D"/>
        </w:rPr>
      </w:pPr>
      <w:r w:rsidRPr="006A5D72">
        <w:rPr>
          <w:rFonts w:ascii="Inter Light" w:hAnsi="Inter Light"/>
          <w:color w:val="0B463D"/>
        </w:rPr>
        <w:t>Letters/emails from setting/local authority/health/specialist/'continuing care assessment'</w:t>
      </w:r>
    </w:p>
    <w:p w14:paraId="0737EC87" w14:textId="77777777" w:rsidR="006A5D72" w:rsidRPr="006A5D72" w:rsidRDefault="006A5D72" w:rsidP="006A5D72">
      <w:pPr>
        <w:pStyle w:val="ListParagraph"/>
        <w:numPr>
          <w:ilvl w:val="0"/>
          <w:numId w:val="6"/>
        </w:numPr>
        <w:spacing w:after="0" w:line="240" w:lineRule="auto"/>
        <w:rPr>
          <w:rFonts w:ascii="Inter Light" w:hAnsi="Inter Light"/>
          <w:color w:val="0B463D"/>
        </w:rPr>
      </w:pPr>
      <w:r w:rsidRPr="006A5D72">
        <w:rPr>
          <w:rFonts w:ascii="Inter Light" w:hAnsi="Inter Light"/>
          <w:color w:val="0B463D"/>
        </w:rPr>
        <w:t>Examples of school or homework (can be helpful where rate of progress is in dispute)</w:t>
      </w:r>
    </w:p>
    <w:p w14:paraId="07799C10" w14:textId="77777777" w:rsidR="006A5D72" w:rsidRPr="006A5D72" w:rsidRDefault="006A5D72" w:rsidP="006A5D72">
      <w:pPr>
        <w:pStyle w:val="ListParagraph"/>
        <w:numPr>
          <w:ilvl w:val="0"/>
          <w:numId w:val="6"/>
        </w:numPr>
        <w:spacing w:after="0" w:line="240" w:lineRule="auto"/>
        <w:rPr>
          <w:rFonts w:ascii="Inter Light" w:hAnsi="Inter Light"/>
          <w:color w:val="0B463D"/>
        </w:rPr>
      </w:pPr>
      <w:r w:rsidRPr="006A5D72">
        <w:rPr>
          <w:rFonts w:ascii="Inter Light" w:hAnsi="Inter Light"/>
          <w:color w:val="0B463D"/>
        </w:rPr>
        <w:t>You can request a copy of your child's school record (you will likely be charged for photocopying)</w:t>
      </w:r>
    </w:p>
    <w:p w14:paraId="5F64BAF2" w14:textId="77777777" w:rsidR="006A5D72" w:rsidRPr="006A5D72" w:rsidRDefault="006A5D72" w:rsidP="006A5D72">
      <w:pPr>
        <w:pStyle w:val="ListParagraph"/>
        <w:numPr>
          <w:ilvl w:val="0"/>
          <w:numId w:val="6"/>
        </w:numPr>
        <w:spacing w:after="0" w:line="240" w:lineRule="auto"/>
        <w:rPr>
          <w:rFonts w:ascii="Inter Light" w:hAnsi="Inter Light"/>
          <w:color w:val="0B463D"/>
        </w:rPr>
      </w:pPr>
      <w:r w:rsidRPr="006A5D72">
        <w:rPr>
          <w:rFonts w:ascii="Inter Light" w:hAnsi="Inter Light"/>
          <w:color w:val="0B463D"/>
        </w:rPr>
        <w:t xml:space="preserve">Second opinion - where you disagree with a professional report or recommendation, where finances allow you could explore private assessment. Where views of professionals differ, each is given equal weight at tribunal. </w:t>
      </w:r>
    </w:p>
    <w:p w14:paraId="3664CB67" w14:textId="77777777" w:rsidR="006A5D72" w:rsidRPr="006A5D72" w:rsidRDefault="006A5D72" w:rsidP="006A5D72">
      <w:pPr>
        <w:rPr>
          <w:rFonts w:ascii="Inter Light" w:hAnsi="Inter Light"/>
          <w:color w:val="0B463D"/>
        </w:rPr>
      </w:pPr>
    </w:p>
    <w:p w14:paraId="53DC0110" w14:textId="77777777" w:rsidR="006A5D72" w:rsidRPr="006A5D72" w:rsidRDefault="006A5D72" w:rsidP="006A5D72">
      <w:pPr>
        <w:rPr>
          <w:rFonts w:ascii="Inter Light" w:hAnsi="Inter Light"/>
          <w:b/>
          <w:color w:val="0B463D"/>
        </w:rPr>
      </w:pPr>
      <w:r w:rsidRPr="006A5D72">
        <w:rPr>
          <w:rFonts w:ascii="Inter Light" w:hAnsi="Inter Light"/>
          <w:b/>
          <w:color w:val="0B463D"/>
        </w:rPr>
        <w:lastRenderedPageBreak/>
        <w:t>Consider the Local Authority (and/or Health Provider) View</w:t>
      </w:r>
    </w:p>
    <w:p w14:paraId="38860D31" w14:textId="77777777" w:rsidR="006A5D72" w:rsidRPr="006A5D72" w:rsidRDefault="006A5D72" w:rsidP="006A5D72">
      <w:pPr>
        <w:rPr>
          <w:rFonts w:ascii="Inter Light" w:hAnsi="Inter Light"/>
          <w:color w:val="0B463D"/>
        </w:rPr>
      </w:pPr>
      <w:r w:rsidRPr="006A5D72">
        <w:rPr>
          <w:rFonts w:ascii="Inter Light" w:hAnsi="Inter Light"/>
          <w:color w:val="0B463D"/>
        </w:rPr>
        <w:t>Find out why they do not want to accept your proposed changes and use the opportunity to explain your reasons. Point to evidence and provide copies of reports with highlighted sections to help you explain.</w:t>
      </w:r>
    </w:p>
    <w:p w14:paraId="09B4E16D" w14:textId="77777777" w:rsidR="006A5D72" w:rsidRPr="006A5D72" w:rsidRDefault="006A5D72" w:rsidP="006A5D72">
      <w:pPr>
        <w:rPr>
          <w:rFonts w:ascii="Inter Light" w:hAnsi="Inter Light"/>
          <w:color w:val="0B463D"/>
        </w:rPr>
      </w:pPr>
    </w:p>
    <w:p w14:paraId="7B38D727" w14:textId="77777777" w:rsidR="006A5D72" w:rsidRPr="006A5D72" w:rsidRDefault="006A5D72" w:rsidP="006A5D72">
      <w:pPr>
        <w:rPr>
          <w:rFonts w:ascii="Inter Light" w:hAnsi="Inter Light"/>
          <w:b/>
          <w:color w:val="0B463D"/>
        </w:rPr>
      </w:pPr>
      <w:r w:rsidRPr="006A5D72">
        <w:rPr>
          <w:rFonts w:ascii="Inter Light" w:hAnsi="Inter Light"/>
          <w:b/>
          <w:color w:val="0B463D"/>
        </w:rPr>
        <w:t>Witnesses</w:t>
      </w:r>
    </w:p>
    <w:p w14:paraId="5D876803" w14:textId="77777777" w:rsidR="006A5D72" w:rsidRPr="006A5D72" w:rsidRDefault="006A5D72" w:rsidP="006A5D72">
      <w:pPr>
        <w:rPr>
          <w:rFonts w:ascii="Inter Light" w:hAnsi="Inter Light"/>
          <w:color w:val="0B463D"/>
        </w:rPr>
      </w:pPr>
      <w:r w:rsidRPr="006A5D72">
        <w:rPr>
          <w:rFonts w:ascii="Inter Light" w:hAnsi="Inter Light"/>
          <w:color w:val="0B463D"/>
        </w:rPr>
        <w:t xml:space="preserve">You can ask a range of professionals to be your witness. You will need to   establish whether they can provide a letter, report or a witness statement which helps you to evidence your key points. You may, for example, ask that they clarify or expand on information that they have already provided as part of the assessment. </w:t>
      </w:r>
    </w:p>
    <w:p w14:paraId="690C4D1F" w14:textId="77777777" w:rsidR="006A5D72" w:rsidRPr="006A5D72" w:rsidRDefault="006A5D72" w:rsidP="006A5D72">
      <w:pPr>
        <w:rPr>
          <w:rFonts w:ascii="Inter Light" w:hAnsi="Inter Light"/>
          <w:color w:val="0B463D"/>
        </w:rPr>
      </w:pPr>
      <w:r w:rsidRPr="006A5D72">
        <w:rPr>
          <w:rFonts w:ascii="Inter Light" w:hAnsi="Inter Light"/>
          <w:color w:val="0B463D"/>
        </w:rPr>
        <w:t>You could ask if they will come along to the hearing, if they decline you can request a summons for them to attend - before you do this be sure they intend to support your case! Therapists and psychologists are likely to charge a daily fee to attend a hearing, and it will be your responsibility to cover these costs.</w:t>
      </w:r>
    </w:p>
    <w:p w14:paraId="17F77FAC" w14:textId="77777777" w:rsidR="006A5D72" w:rsidRPr="006A5D72" w:rsidRDefault="006A5D72" w:rsidP="006A5D72">
      <w:pPr>
        <w:rPr>
          <w:rFonts w:ascii="Inter Light" w:hAnsi="Inter Light"/>
          <w:color w:val="0B463D"/>
        </w:rPr>
      </w:pPr>
    </w:p>
    <w:p w14:paraId="0C6E874E" w14:textId="77777777" w:rsidR="006326F4" w:rsidRPr="006A5D72" w:rsidRDefault="006326F4" w:rsidP="006A5D72">
      <w:pPr>
        <w:autoSpaceDE w:val="0"/>
        <w:autoSpaceDN w:val="0"/>
        <w:adjustRightInd w:val="0"/>
        <w:jc w:val="center"/>
        <w:rPr>
          <w:rFonts w:ascii="Inter Light" w:hAnsi="Inter Light" w:cs="Comic Sans MS"/>
          <w:b/>
          <w:color w:val="0B463D"/>
        </w:rPr>
      </w:pPr>
    </w:p>
    <w:p w14:paraId="17E03D37" w14:textId="18519284" w:rsidR="000F7D31" w:rsidRPr="006A5D72" w:rsidRDefault="000F7D31" w:rsidP="006A5D72">
      <w:pPr>
        <w:autoSpaceDE w:val="0"/>
        <w:autoSpaceDN w:val="0"/>
        <w:adjustRightInd w:val="0"/>
        <w:jc w:val="center"/>
        <w:rPr>
          <w:rFonts w:ascii="Inter Light" w:hAnsi="Inter Light" w:cs="Comic Sans MS"/>
          <w:b/>
          <w:color w:val="0B463D"/>
        </w:rPr>
      </w:pPr>
      <w:r w:rsidRPr="006A5D72">
        <w:rPr>
          <w:rFonts w:ascii="Inter Light" w:hAnsi="Inter Light" w:cs="Comic Sans MS"/>
          <w:b/>
          <w:color w:val="0B463D"/>
        </w:rPr>
        <w:t>For further information and advice, contact Barnardo’s SENDIASS:</w:t>
      </w:r>
    </w:p>
    <w:p w14:paraId="5CAA0B66" w14:textId="098CF23A" w:rsidR="000F7D31" w:rsidRPr="006A5D72" w:rsidRDefault="00844871" w:rsidP="006A5D72">
      <w:pPr>
        <w:autoSpaceDE w:val="0"/>
        <w:autoSpaceDN w:val="0"/>
        <w:adjustRightInd w:val="0"/>
        <w:ind w:firstLine="720"/>
        <w:jc w:val="center"/>
        <w:rPr>
          <w:rFonts w:ascii="Inter Light" w:hAnsi="Inter Light" w:cs="Comic Sans MS"/>
          <w:color w:val="0B463D"/>
        </w:rPr>
      </w:pPr>
      <w:r w:rsidRPr="006A5D72">
        <w:rPr>
          <w:rFonts w:ascii="Inter Light" w:hAnsi="Inter Light" w:cs="Comic Sans MS"/>
          <w:color w:val="0B463D"/>
        </w:rPr>
        <w:t>Telephone:</w:t>
      </w:r>
      <w:r w:rsidR="000F7D31" w:rsidRPr="006A5D72">
        <w:rPr>
          <w:rFonts w:ascii="Inter Light" w:hAnsi="Inter Light" w:cs="Comic Sans MS"/>
          <w:color w:val="0B463D"/>
        </w:rPr>
        <w:t xml:space="preserve"> 01274 513300</w:t>
      </w:r>
    </w:p>
    <w:p w14:paraId="240F091B" w14:textId="77777777" w:rsidR="000F7D31" w:rsidRPr="006A5D72" w:rsidRDefault="000F7D31" w:rsidP="006A5D72">
      <w:pPr>
        <w:autoSpaceDE w:val="0"/>
        <w:autoSpaceDN w:val="0"/>
        <w:adjustRightInd w:val="0"/>
        <w:ind w:firstLine="720"/>
        <w:jc w:val="center"/>
        <w:rPr>
          <w:rFonts w:ascii="Inter Light" w:hAnsi="Inter Light" w:cs="Comic Sans MS"/>
          <w:color w:val="0B463D"/>
        </w:rPr>
      </w:pPr>
      <w:r w:rsidRPr="006A5D72">
        <w:rPr>
          <w:rFonts w:ascii="Inter Light" w:hAnsi="Inter Light" w:cs="Comic Sans MS"/>
          <w:color w:val="0B463D"/>
        </w:rPr>
        <w:t xml:space="preserve">Email: </w:t>
      </w:r>
      <w:hyperlink r:id="rId7" w:history="1">
        <w:r w:rsidRPr="006A5D72">
          <w:rPr>
            <w:rStyle w:val="Hyperlink"/>
            <w:rFonts w:ascii="Inter Light" w:hAnsi="Inter Light" w:cs="Comic Sans MS"/>
            <w:color w:val="0B463D"/>
          </w:rPr>
          <w:t>bradfordsendiass@barnardos.org.uk</w:t>
        </w:r>
      </w:hyperlink>
    </w:p>
    <w:p w14:paraId="0D7307C4" w14:textId="77777777" w:rsidR="000F7D31" w:rsidRPr="006A5D72" w:rsidRDefault="000F7D31" w:rsidP="006A5D72">
      <w:pPr>
        <w:autoSpaceDE w:val="0"/>
        <w:autoSpaceDN w:val="0"/>
        <w:adjustRightInd w:val="0"/>
        <w:ind w:firstLine="720"/>
        <w:jc w:val="center"/>
        <w:rPr>
          <w:rFonts w:ascii="Inter Light" w:hAnsi="Inter Light" w:cs="Comic Sans MS"/>
          <w:color w:val="0B463D"/>
        </w:rPr>
      </w:pPr>
      <w:r w:rsidRPr="006A5D72">
        <w:rPr>
          <w:rFonts w:ascii="Inter Light" w:hAnsi="Inter Light" w:cs="Comic Sans MS"/>
          <w:color w:val="0B463D"/>
        </w:rPr>
        <w:t>Write to:</w:t>
      </w:r>
      <w:r w:rsidRPr="006A5D72">
        <w:rPr>
          <w:rFonts w:ascii="Inter Light" w:hAnsi="Inter Light" w:cs="Comic Sans MS"/>
          <w:color w:val="0B463D"/>
        </w:rPr>
        <w:tab/>
        <w:t xml:space="preserve"> Bradford SENDIASS</w:t>
      </w:r>
    </w:p>
    <w:p w14:paraId="10FDA6F9" w14:textId="77A6F0A3" w:rsidR="000F7D31" w:rsidRPr="006A5D72" w:rsidRDefault="000F7D31" w:rsidP="006A5D72">
      <w:pPr>
        <w:autoSpaceDE w:val="0"/>
        <w:autoSpaceDN w:val="0"/>
        <w:adjustRightInd w:val="0"/>
        <w:ind w:left="1440" w:firstLine="720"/>
        <w:jc w:val="center"/>
        <w:rPr>
          <w:rFonts w:ascii="Inter Light" w:hAnsi="Inter Light" w:cs="Comic Sans MS"/>
          <w:color w:val="0B463D"/>
        </w:rPr>
      </w:pPr>
      <w:r w:rsidRPr="006A5D72">
        <w:rPr>
          <w:rFonts w:ascii="Inter Light" w:hAnsi="Inter Light" w:cs="Comic Sans MS"/>
          <w:color w:val="0B463D"/>
        </w:rPr>
        <w:t>40–42 Listerhills Science Park</w:t>
      </w:r>
    </w:p>
    <w:p w14:paraId="6DFB5DD8" w14:textId="5A6A85D0" w:rsidR="000F7D31" w:rsidRPr="006A5D72" w:rsidRDefault="000F7D31" w:rsidP="006A5D72">
      <w:pPr>
        <w:autoSpaceDE w:val="0"/>
        <w:autoSpaceDN w:val="0"/>
        <w:adjustRightInd w:val="0"/>
        <w:ind w:left="1440" w:firstLine="720"/>
        <w:jc w:val="center"/>
        <w:rPr>
          <w:rFonts w:ascii="Inter Light" w:hAnsi="Inter Light" w:cs="Comic Sans MS"/>
          <w:color w:val="0B463D"/>
        </w:rPr>
      </w:pPr>
      <w:r w:rsidRPr="006A5D72">
        <w:rPr>
          <w:rFonts w:ascii="Inter Light" w:hAnsi="Inter Light" w:cs="Comic Sans MS"/>
          <w:color w:val="0B463D"/>
        </w:rPr>
        <w:t>Campus Road</w:t>
      </w:r>
    </w:p>
    <w:p w14:paraId="5F4C1AEF" w14:textId="439C6C48" w:rsidR="000F7D31" w:rsidRPr="006A5D72" w:rsidRDefault="000F7D31" w:rsidP="006A5D72">
      <w:pPr>
        <w:autoSpaceDE w:val="0"/>
        <w:autoSpaceDN w:val="0"/>
        <w:adjustRightInd w:val="0"/>
        <w:ind w:left="1440" w:firstLine="720"/>
        <w:jc w:val="center"/>
        <w:rPr>
          <w:rFonts w:ascii="Inter Light" w:hAnsi="Inter Light" w:cs="Comic Sans MS"/>
          <w:color w:val="0B463D"/>
        </w:rPr>
      </w:pPr>
      <w:r w:rsidRPr="006A5D72">
        <w:rPr>
          <w:rFonts w:ascii="Inter Light" w:hAnsi="Inter Light" w:cs="Comic Sans MS"/>
          <w:color w:val="0B463D"/>
        </w:rPr>
        <w:t>Bradford</w:t>
      </w:r>
    </w:p>
    <w:p w14:paraId="1C7E3D62" w14:textId="5F6DA5CA" w:rsidR="000F7D31" w:rsidRPr="006A5D72" w:rsidRDefault="000F7D31" w:rsidP="006A5D72">
      <w:pPr>
        <w:autoSpaceDE w:val="0"/>
        <w:autoSpaceDN w:val="0"/>
        <w:adjustRightInd w:val="0"/>
        <w:ind w:left="1440" w:firstLine="720"/>
        <w:jc w:val="center"/>
        <w:rPr>
          <w:rFonts w:ascii="Inter Light" w:hAnsi="Inter Light" w:cs="Comic Sans MS"/>
          <w:color w:val="0B463D"/>
        </w:rPr>
      </w:pPr>
      <w:r w:rsidRPr="006A5D72">
        <w:rPr>
          <w:rFonts w:ascii="Inter Light" w:hAnsi="Inter Light" w:cs="Comic Sans MS"/>
          <w:color w:val="0B463D"/>
        </w:rPr>
        <w:t>BD7 1HR</w:t>
      </w:r>
    </w:p>
    <w:p w14:paraId="32058962" w14:textId="77777777" w:rsidR="000F7D31" w:rsidRPr="006A5D72" w:rsidRDefault="000F7D31" w:rsidP="006A5D72">
      <w:pPr>
        <w:autoSpaceDE w:val="0"/>
        <w:autoSpaceDN w:val="0"/>
        <w:adjustRightInd w:val="0"/>
        <w:ind w:firstLine="720"/>
        <w:jc w:val="center"/>
        <w:rPr>
          <w:rFonts w:ascii="Inter Light" w:hAnsi="Inter Light" w:cs="Comic Sans MS"/>
          <w:color w:val="0B463D"/>
        </w:rPr>
      </w:pPr>
      <w:r w:rsidRPr="006A5D72">
        <w:rPr>
          <w:rFonts w:ascii="Inter Light" w:hAnsi="Inter Light" w:cs="Comic Sans MS"/>
          <w:color w:val="0B463D"/>
        </w:rPr>
        <w:t>Or visit our website for more useful information:</w:t>
      </w:r>
    </w:p>
    <w:p w14:paraId="19743199" w14:textId="1E568BA9" w:rsidR="000F7D31" w:rsidRPr="006A5D72" w:rsidRDefault="000F7D31" w:rsidP="006A5D72">
      <w:pPr>
        <w:autoSpaceDE w:val="0"/>
        <w:autoSpaceDN w:val="0"/>
        <w:adjustRightInd w:val="0"/>
        <w:ind w:left="720" w:firstLine="720"/>
        <w:jc w:val="center"/>
        <w:rPr>
          <w:rFonts w:ascii="Inter Light" w:hAnsi="Inter Light" w:cs="Comic Sans MS"/>
          <w:color w:val="0B463D"/>
        </w:rPr>
      </w:pPr>
      <w:hyperlink r:id="rId8" w:history="1">
        <w:r w:rsidRPr="006A5D72">
          <w:rPr>
            <w:rStyle w:val="Hyperlink"/>
            <w:rFonts w:ascii="Inter Light" w:hAnsi="Inter Light" w:cs="Comic Sans MS"/>
            <w:color w:val="0B463D"/>
          </w:rPr>
          <w:t>www.barnardos.org.uk/bradfordsendiass</w:t>
        </w:r>
      </w:hyperlink>
    </w:p>
    <w:p w14:paraId="133EC270" w14:textId="77777777" w:rsidR="00540423" w:rsidRPr="006A5D72" w:rsidRDefault="00540423" w:rsidP="00466BB4">
      <w:pPr>
        <w:jc w:val="center"/>
        <w:rPr>
          <w:rFonts w:ascii="Inter Light" w:hAnsi="Inter Light"/>
          <w:color w:val="0B463D"/>
        </w:rPr>
      </w:pPr>
    </w:p>
    <w:p w14:paraId="5FE3E764" w14:textId="77777777" w:rsidR="00196643" w:rsidRPr="006A5D72" w:rsidRDefault="00196643" w:rsidP="009A2087">
      <w:pPr>
        <w:rPr>
          <w:rFonts w:ascii="Inter Light" w:hAnsi="Inter Light"/>
          <w:color w:val="0B463D"/>
        </w:rPr>
      </w:pPr>
    </w:p>
    <w:p w14:paraId="26C5297D" w14:textId="77777777" w:rsidR="009A2087" w:rsidRPr="006A5D72" w:rsidRDefault="009A2087" w:rsidP="009A2087">
      <w:pPr>
        <w:rPr>
          <w:rFonts w:ascii="Inter Light" w:hAnsi="Inter Light"/>
          <w:color w:val="0B463D"/>
        </w:rPr>
      </w:pPr>
    </w:p>
    <w:sectPr w:rsidR="009A2087" w:rsidRPr="006A5D72" w:rsidSect="00466BB4">
      <w:headerReference w:type="default" r:id="rId9"/>
      <w:footerReference w:type="default" r:id="rId10"/>
      <w:pgSz w:w="11906" w:h="16838"/>
      <w:pgMar w:top="2694"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62A3" w14:textId="77777777" w:rsidR="001857A2" w:rsidRDefault="001857A2" w:rsidP="001857A2">
      <w:pPr>
        <w:spacing w:after="0" w:line="240" w:lineRule="auto"/>
      </w:pPr>
      <w:r>
        <w:separator/>
      </w:r>
    </w:p>
  </w:endnote>
  <w:endnote w:type="continuationSeparator" w:id="0">
    <w:p w14:paraId="048382ED" w14:textId="77777777" w:rsidR="001857A2" w:rsidRDefault="001857A2" w:rsidP="0018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 Light">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E656" w14:textId="48DAE9CF" w:rsidR="001857A2" w:rsidRDefault="001857A2">
    <w:pPr>
      <w:pStyle w:val="Footer"/>
    </w:pPr>
    <w:r>
      <w:rPr>
        <w:noProof/>
      </w:rPr>
      <w:drawing>
        <wp:anchor distT="0" distB="0" distL="114300" distR="114300" simplePos="0" relativeHeight="251663360" behindDoc="0" locked="0" layoutInCell="1" allowOverlap="1" wp14:anchorId="2A1A4771" wp14:editId="4A6F861F">
          <wp:simplePos x="0" y="0"/>
          <wp:positionH relativeFrom="column">
            <wp:posOffset>4896682</wp:posOffset>
          </wp:positionH>
          <wp:positionV relativeFrom="paragraph">
            <wp:posOffset>-238125</wp:posOffset>
          </wp:positionV>
          <wp:extent cx="1628775" cy="706481"/>
          <wp:effectExtent l="0" t="0" r="0" b="0"/>
          <wp:wrapThrough wrapText="bothSides">
            <wp:wrapPolygon edited="0">
              <wp:start x="1263" y="0"/>
              <wp:lineTo x="0" y="3496"/>
              <wp:lineTo x="0" y="11655"/>
              <wp:lineTo x="7832" y="19230"/>
              <wp:lineTo x="10105" y="20396"/>
              <wp:lineTo x="11874" y="20978"/>
              <wp:lineTo x="15158" y="20978"/>
              <wp:lineTo x="20211" y="19230"/>
              <wp:lineTo x="21221" y="16317"/>
              <wp:lineTo x="21221" y="2914"/>
              <wp:lineTo x="18947" y="0"/>
              <wp:lineTo x="1263" y="0"/>
            </wp:wrapPolygon>
          </wp:wrapThrough>
          <wp:docPr id="1265438275" name="Picture 1" descr="barnardos-logo-purpose-vertical-dark-gre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nardos-logo-purpose-vertical-dark-green-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70648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83EA" w14:textId="77777777" w:rsidR="001857A2" w:rsidRDefault="001857A2" w:rsidP="001857A2">
      <w:pPr>
        <w:spacing w:after="0" w:line="240" w:lineRule="auto"/>
      </w:pPr>
      <w:r>
        <w:separator/>
      </w:r>
    </w:p>
  </w:footnote>
  <w:footnote w:type="continuationSeparator" w:id="0">
    <w:p w14:paraId="711D7899" w14:textId="77777777" w:rsidR="001857A2" w:rsidRDefault="001857A2" w:rsidP="00185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D48C" w14:textId="3203CA4A" w:rsidR="00585175" w:rsidRPr="00585175" w:rsidRDefault="0042052F" w:rsidP="0042052F">
    <w:pPr>
      <w:pStyle w:val="Header"/>
      <w:ind w:left="-426"/>
    </w:pPr>
    <w:r w:rsidRPr="00585175">
      <w:rPr>
        <w:noProof/>
      </w:rPr>
      <w:drawing>
        <wp:anchor distT="0" distB="0" distL="114300" distR="114300" simplePos="0" relativeHeight="251666432" behindDoc="1" locked="0" layoutInCell="1" allowOverlap="1" wp14:anchorId="75CCA7F8" wp14:editId="73686CAA">
          <wp:simplePos x="0" y="0"/>
          <wp:positionH relativeFrom="column">
            <wp:posOffset>5975350</wp:posOffset>
          </wp:positionH>
          <wp:positionV relativeFrom="paragraph">
            <wp:posOffset>-240030</wp:posOffset>
          </wp:positionV>
          <wp:extent cx="882015" cy="781050"/>
          <wp:effectExtent l="0" t="0" r="0" b="0"/>
          <wp:wrapTight wrapText="bothSides">
            <wp:wrapPolygon edited="0">
              <wp:start x="17261" y="0"/>
              <wp:lineTo x="4199" y="2634"/>
              <wp:lineTo x="0" y="4215"/>
              <wp:lineTo x="0" y="18966"/>
              <wp:lineTo x="933" y="21073"/>
              <wp:lineTo x="15862" y="21073"/>
              <wp:lineTo x="16328" y="8429"/>
              <wp:lineTo x="20994" y="5268"/>
              <wp:lineTo x="20994" y="2107"/>
              <wp:lineTo x="20060" y="0"/>
              <wp:lineTo x="17261" y="0"/>
            </wp:wrapPolygon>
          </wp:wrapTight>
          <wp:docPr id="2128088483" name="Picture 4" descr="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10960" name="Picture 4" descr="A person holding a sta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DA8">
      <w:rPr>
        <w:b/>
        <w:bCs/>
        <w:noProof/>
      </w:rPr>
      <w:drawing>
        <wp:anchor distT="0" distB="0" distL="114300" distR="114300" simplePos="0" relativeHeight="251661312" behindDoc="1" locked="0" layoutInCell="1" allowOverlap="1" wp14:anchorId="3CBC1D01" wp14:editId="66E60044">
          <wp:simplePos x="0" y="0"/>
          <wp:positionH relativeFrom="column">
            <wp:posOffset>-248285</wp:posOffset>
          </wp:positionH>
          <wp:positionV relativeFrom="paragraph">
            <wp:posOffset>-127000</wp:posOffset>
          </wp:positionV>
          <wp:extent cx="3785235" cy="752475"/>
          <wp:effectExtent l="0" t="0" r="0" b="0"/>
          <wp:wrapTight wrapText="bothSides">
            <wp:wrapPolygon edited="0">
              <wp:start x="5979" y="4375"/>
              <wp:lineTo x="1087" y="5468"/>
              <wp:lineTo x="652" y="6015"/>
              <wp:lineTo x="652" y="17499"/>
              <wp:lineTo x="20546" y="17499"/>
              <wp:lineTo x="20980" y="14218"/>
              <wp:lineTo x="21198" y="7109"/>
              <wp:lineTo x="20328" y="5468"/>
              <wp:lineTo x="16197" y="4375"/>
              <wp:lineTo x="5979" y="4375"/>
            </wp:wrapPolygon>
          </wp:wrapTight>
          <wp:docPr id="795382384" name="Picture 3"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54784" name="Picture 3" descr="A black background with blu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52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175">
      <w:rPr>
        <w:noProof/>
      </w:rPr>
      <mc:AlternateContent>
        <mc:Choice Requires="wps">
          <w:drawing>
            <wp:anchor distT="0" distB="0" distL="114300" distR="114300" simplePos="0" relativeHeight="251659264" behindDoc="0" locked="0" layoutInCell="1" allowOverlap="1" wp14:anchorId="59EABA88" wp14:editId="6AB24D75">
              <wp:simplePos x="0" y="0"/>
              <wp:positionH relativeFrom="column">
                <wp:posOffset>-352425</wp:posOffset>
              </wp:positionH>
              <wp:positionV relativeFrom="paragraph">
                <wp:posOffset>-316230</wp:posOffset>
              </wp:positionV>
              <wp:extent cx="7277100" cy="1247775"/>
              <wp:effectExtent l="0" t="0" r="0" b="9525"/>
              <wp:wrapNone/>
              <wp:docPr id="586694764" name="Rectangle 2"/>
              <wp:cNvGraphicFramePr/>
              <a:graphic xmlns:a="http://schemas.openxmlformats.org/drawingml/2006/main">
                <a:graphicData uri="http://schemas.microsoft.com/office/word/2010/wordprocessingShape">
                  <wps:wsp>
                    <wps:cNvSpPr/>
                    <wps:spPr>
                      <a:xfrm>
                        <a:off x="0" y="0"/>
                        <a:ext cx="7277100" cy="1247775"/>
                      </a:xfrm>
                      <a:custGeom>
                        <a:avLst/>
                        <a:gdLst>
                          <a:gd name="connsiteX0" fmla="*/ 0 w 7334250"/>
                          <a:gd name="connsiteY0" fmla="*/ 0 h 733425"/>
                          <a:gd name="connsiteX1" fmla="*/ 7334250 w 7334250"/>
                          <a:gd name="connsiteY1" fmla="*/ 0 h 733425"/>
                          <a:gd name="connsiteX2" fmla="*/ 7334250 w 7334250"/>
                          <a:gd name="connsiteY2" fmla="*/ 7334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4286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520676 h 733425"/>
                          <a:gd name="connsiteX3" fmla="*/ 0 w 7334250"/>
                          <a:gd name="connsiteY3" fmla="*/ 733425 h 733425"/>
                          <a:gd name="connsiteX4" fmla="*/ 0 w 7334250"/>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34250" h="733425">
                            <a:moveTo>
                              <a:pt x="0" y="0"/>
                            </a:moveTo>
                            <a:lnTo>
                              <a:pt x="7334250" y="0"/>
                            </a:lnTo>
                            <a:lnTo>
                              <a:pt x="7334250" y="520676"/>
                            </a:lnTo>
                            <a:lnTo>
                              <a:pt x="0" y="733425"/>
                            </a:lnTo>
                            <a:lnTo>
                              <a:pt x="0" y="0"/>
                            </a:lnTo>
                            <a:close/>
                          </a:path>
                        </a:pathLst>
                      </a:custGeom>
                      <a:solidFill>
                        <a:srgbClr val="8EFE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5F44B" id="Rectangle 2" o:spid="_x0000_s1026" style="position:absolute;margin-left:-27.75pt;margin-top:-24.9pt;width:573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0,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" path="m,l7334250,r,520676l,733425,,xe" fillcolor="#8efe9a" stroked="f" strokeweight="1pt">
              <v:stroke joinstyle="miter"/>
              <v:path arrowok="t" o:connecttype="custom" o:connectlocs="0,0;7277100,0;7277100,885825;0,1247775;0,0" o:connectangles="0,0,0,0,0"/>
            </v:shape>
          </w:pict>
        </mc:Fallback>
      </mc:AlternateContent>
    </w:r>
  </w:p>
  <w:p w14:paraId="4289AE4F" w14:textId="440245CF" w:rsidR="001857A2" w:rsidRDefault="00185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50B1"/>
    <w:multiLevelType w:val="hybridMultilevel"/>
    <w:tmpl w:val="CFE4E7DE"/>
    <w:lvl w:ilvl="0" w:tplc="AAB44460">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66D1B"/>
    <w:multiLevelType w:val="hybridMultilevel"/>
    <w:tmpl w:val="84BA5CB2"/>
    <w:lvl w:ilvl="0" w:tplc="AAB44460">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B3FC2"/>
    <w:multiLevelType w:val="hybridMultilevel"/>
    <w:tmpl w:val="4D3A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F0B95"/>
    <w:multiLevelType w:val="hybridMultilevel"/>
    <w:tmpl w:val="E5E4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F3D6A"/>
    <w:multiLevelType w:val="hybridMultilevel"/>
    <w:tmpl w:val="E6F4B760"/>
    <w:lvl w:ilvl="0" w:tplc="AAB44460">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A1358"/>
    <w:multiLevelType w:val="hybridMultilevel"/>
    <w:tmpl w:val="8FD0ACE2"/>
    <w:lvl w:ilvl="0" w:tplc="AAB44460">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2604A76"/>
    <w:multiLevelType w:val="hybridMultilevel"/>
    <w:tmpl w:val="D788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A01146"/>
    <w:multiLevelType w:val="hybridMultilevel"/>
    <w:tmpl w:val="CC6C0A26"/>
    <w:lvl w:ilvl="0" w:tplc="AAB44460">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219699">
    <w:abstractNumId w:val="6"/>
  </w:num>
  <w:num w:numId="2" w16cid:durableId="895050157">
    <w:abstractNumId w:val="3"/>
  </w:num>
  <w:num w:numId="3" w16cid:durableId="2088187882">
    <w:abstractNumId w:val="2"/>
  </w:num>
  <w:num w:numId="4" w16cid:durableId="32000764">
    <w:abstractNumId w:val="5"/>
  </w:num>
  <w:num w:numId="5" w16cid:durableId="1443256760">
    <w:abstractNumId w:val="4"/>
  </w:num>
  <w:num w:numId="6" w16cid:durableId="1405571461">
    <w:abstractNumId w:val="1"/>
  </w:num>
  <w:num w:numId="7" w16cid:durableId="903639199">
    <w:abstractNumId w:val="7"/>
  </w:num>
  <w:num w:numId="8" w16cid:durableId="96739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87"/>
    <w:rsid w:val="00013DA0"/>
    <w:rsid w:val="00014C9D"/>
    <w:rsid w:val="00023DC3"/>
    <w:rsid w:val="00043211"/>
    <w:rsid w:val="00055286"/>
    <w:rsid w:val="00096D43"/>
    <w:rsid w:val="000B7D26"/>
    <w:rsid w:val="000D11E0"/>
    <w:rsid w:val="000E1B87"/>
    <w:rsid w:val="000F1301"/>
    <w:rsid w:val="000F7D31"/>
    <w:rsid w:val="001857A2"/>
    <w:rsid w:val="00196643"/>
    <w:rsid w:val="001C0E70"/>
    <w:rsid w:val="0020160D"/>
    <w:rsid w:val="00235C78"/>
    <w:rsid w:val="002E31BF"/>
    <w:rsid w:val="002E640B"/>
    <w:rsid w:val="003139C1"/>
    <w:rsid w:val="0032203C"/>
    <w:rsid w:val="0033233A"/>
    <w:rsid w:val="00354D0C"/>
    <w:rsid w:val="0036576F"/>
    <w:rsid w:val="00375940"/>
    <w:rsid w:val="00397AFD"/>
    <w:rsid w:val="003D29FC"/>
    <w:rsid w:val="003F4CCC"/>
    <w:rsid w:val="00411BFC"/>
    <w:rsid w:val="0042052F"/>
    <w:rsid w:val="004218E4"/>
    <w:rsid w:val="00456295"/>
    <w:rsid w:val="00466BB4"/>
    <w:rsid w:val="0047335C"/>
    <w:rsid w:val="00473510"/>
    <w:rsid w:val="00501844"/>
    <w:rsid w:val="005254E6"/>
    <w:rsid w:val="00540423"/>
    <w:rsid w:val="00542FA2"/>
    <w:rsid w:val="005549E7"/>
    <w:rsid w:val="00585175"/>
    <w:rsid w:val="005C4E65"/>
    <w:rsid w:val="005E0302"/>
    <w:rsid w:val="005E331C"/>
    <w:rsid w:val="00602A25"/>
    <w:rsid w:val="006326F4"/>
    <w:rsid w:val="006A5D72"/>
    <w:rsid w:val="006D07FE"/>
    <w:rsid w:val="007067CB"/>
    <w:rsid w:val="007101FC"/>
    <w:rsid w:val="007150DD"/>
    <w:rsid w:val="00715CA9"/>
    <w:rsid w:val="00716211"/>
    <w:rsid w:val="00724672"/>
    <w:rsid w:val="00751699"/>
    <w:rsid w:val="007644D4"/>
    <w:rsid w:val="00784DDF"/>
    <w:rsid w:val="007B1827"/>
    <w:rsid w:val="007B278F"/>
    <w:rsid w:val="007B57B4"/>
    <w:rsid w:val="007C6046"/>
    <w:rsid w:val="007E4DE7"/>
    <w:rsid w:val="00844871"/>
    <w:rsid w:val="008A64A1"/>
    <w:rsid w:val="009432A1"/>
    <w:rsid w:val="00995E3D"/>
    <w:rsid w:val="009A2087"/>
    <w:rsid w:val="009A6695"/>
    <w:rsid w:val="009A78CC"/>
    <w:rsid w:val="00A00E35"/>
    <w:rsid w:val="00A07FCF"/>
    <w:rsid w:val="00A10B08"/>
    <w:rsid w:val="00A12B99"/>
    <w:rsid w:val="00A61B46"/>
    <w:rsid w:val="00AF1013"/>
    <w:rsid w:val="00AF47A2"/>
    <w:rsid w:val="00B01C49"/>
    <w:rsid w:val="00B43065"/>
    <w:rsid w:val="00B526F1"/>
    <w:rsid w:val="00B53A0D"/>
    <w:rsid w:val="00B8205D"/>
    <w:rsid w:val="00BB3191"/>
    <w:rsid w:val="00C07ECF"/>
    <w:rsid w:val="00C244E6"/>
    <w:rsid w:val="00C24EDD"/>
    <w:rsid w:val="00C43889"/>
    <w:rsid w:val="00C76FEE"/>
    <w:rsid w:val="00C839FC"/>
    <w:rsid w:val="00C939C3"/>
    <w:rsid w:val="00C948F4"/>
    <w:rsid w:val="00CA1E32"/>
    <w:rsid w:val="00CF33F5"/>
    <w:rsid w:val="00D20C4F"/>
    <w:rsid w:val="00D36200"/>
    <w:rsid w:val="00D74DFA"/>
    <w:rsid w:val="00DA6F88"/>
    <w:rsid w:val="00DF4012"/>
    <w:rsid w:val="00E3512F"/>
    <w:rsid w:val="00E516D3"/>
    <w:rsid w:val="00E610B5"/>
    <w:rsid w:val="00E74911"/>
    <w:rsid w:val="00E779BB"/>
    <w:rsid w:val="00E877D1"/>
    <w:rsid w:val="00E91373"/>
    <w:rsid w:val="00EA2089"/>
    <w:rsid w:val="00EB54E6"/>
    <w:rsid w:val="00ED03CD"/>
    <w:rsid w:val="00ED53D8"/>
    <w:rsid w:val="00EE4BBD"/>
    <w:rsid w:val="00EF389D"/>
    <w:rsid w:val="00F0054E"/>
    <w:rsid w:val="00F3207E"/>
    <w:rsid w:val="00F42570"/>
    <w:rsid w:val="00F64014"/>
    <w:rsid w:val="00FC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68AAB4"/>
  <w15:chartTrackingRefBased/>
  <w15:docId w15:val="{03D805E7-D2A5-431D-B928-BC662262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3233A"/>
    <w:rPr>
      <w:color w:val="EE7B08" w:themeColor="hyperlink"/>
      <w:u w:val="single"/>
    </w:rPr>
  </w:style>
  <w:style w:type="character" w:styleId="UnresolvedMention">
    <w:name w:val="Unresolved Mention"/>
    <w:basedOn w:val="DefaultParagraphFont"/>
    <w:uiPriority w:val="99"/>
    <w:semiHidden/>
    <w:unhideWhenUsed/>
    <w:rsid w:val="0033233A"/>
    <w:rPr>
      <w:color w:val="605E5C"/>
      <w:shd w:val="clear" w:color="auto" w:fill="E1DFDD"/>
    </w:rPr>
  </w:style>
  <w:style w:type="character" w:styleId="FollowedHyperlink">
    <w:name w:val="FollowedHyperlink"/>
    <w:basedOn w:val="DefaultParagraphFont"/>
    <w:uiPriority w:val="99"/>
    <w:semiHidden/>
    <w:unhideWhenUsed/>
    <w:rsid w:val="0033233A"/>
    <w:rPr>
      <w:color w:val="977B2D" w:themeColor="followedHyperlink"/>
      <w:u w:val="single"/>
    </w:rPr>
  </w:style>
  <w:style w:type="paragraph" w:styleId="ListParagraph">
    <w:name w:val="List Paragraph"/>
    <w:basedOn w:val="Normal"/>
    <w:uiPriority w:val="34"/>
    <w:qFormat/>
    <w:rsid w:val="008A64A1"/>
    <w:pPr>
      <w:ind w:left="720"/>
      <w:contextualSpacing/>
    </w:pPr>
  </w:style>
  <w:style w:type="paragraph" w:styleId="NormalWeb">
    <w:name w:val="Normal (Web)"/>
    <w:basedOn w:val="Normal"/>
    <w:uiPriority w:val="99"/>
    <w:unhideWhenUsed/>
    <w:rsid w:val="006326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85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7A2"/>
  </w:style>
  <w:style w:type="paragraph" w:styleId="Footer">
    <w:name w:val="footer"/>
    <w:basedOn w:val="Normal"/>
    <w:link w:val="FooterChar"/>
    <w:uiPriority w:val="99"/>
    <w:unhideWhenUsed/>
    <w:rsid w:val="00185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22732">
      <w:bodyDiv w:val="1"/>
      <w:marLeft w:val="0"/>
      <w:marRight w:val="0"/>
      <w:marTop w:val="0"/>
      <w:marBottom w:val="0"/>
      <w:divBdr>
        <w:top w:val="none" w:sz="0" w:space="0" w:color="auto"/>
        <w:left w:val="none" w:sz="0" w:space="0" w:color="auto"/>
        <w:bottom w:val="none" w:sz="0" w:space="0" w:color="auto"/>
        <w:right w:val="none" w:sz="0" w:space="0" w:color="auto"/>
      </w:divBdr>
    </w:div>
    <w:div w:id="1364095130">
      <w:bodyDiv w:val="1"/>
      <w:marLeft w:val="0"/>
      <w:marRight w:val="0"/>
      <w:marTop w:val="0"/>
      <w:marBottom w:val="0"/>
      <w:divBdr>
        <w:top w:val="none" w:sz="0" w:space="0" w:color="auto"/>
        <w:left w:val="none" w:sz="0" w:space="0" w:color="auto"/>
        <w:bottom w:val="none" w:sz="0" w:space="0" w:color="auto"/>
        <w:right w:val="none" w:sz="0" w:space="0" w:color="auto"/>
      </w:divBdr>
    </w:div>
    <w:div w:id="1435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nardos.org.uk/bradfordsendiass" TargetMode="External"/><Relationship Id="rId3" Type="http://schemas.openxmlformats.org/officeDocument/2006/relationships/settings" Target="settings.xml"/><Relationship Id="rId7" Type="http://schemas.openxmlformats.org/officeDocument/2006/relationships/hyperlink" Target="mailto:bradfordsendiass@barnardo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817</Words>
  <Characters>4400</Characters>
  <Application>Microsoft Office Word</Application>
  <DocSecurity>0</DocSecurity>
  <Lines>129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Cahill</dc:creator>
  <cp:keywords/>
  <dc:description/>
  <cp:lastModifiedBy>Heidi Simmen</cp:lastModifiedBy>
  <cp:revision>2</cp:revision>
  <cp:lastPrinted>2024-10-08T12:57:00Z</cp:lastPrinted>
  <dcterms:created xsi:type="dcterms:W3CDTF">2025-08-07T14:31:00Z</dcterms:created>
  <dcterms:modified xsi:type="dcterms:W3CDTF">2025-08-07T14:31:00Z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f817047d-1434-4a57-83f9-40c1e1bdca18</vt:lpwstr>
  </property>
</Properties>
</file>